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1"/>
        </w:rPr>
        <w:t xml:space="preserve">בגאולה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קשתי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נתתי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בענן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תרנ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הערה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100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בשיחת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נח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תשנ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ובש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05">
      <w:pPr>
        <w:pStyle w:val="Heading3"/>
        <w:bidi w:val="1"/>
        <w:spacing w:after="100" w:before="100" w:line="276" w:lineRule="auto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t0m9ub2sfk0c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חיובי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שלילי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מנפלאות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הטבע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הגדולות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שלעולם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ירגשו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ויפעימו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נדירים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במיוחד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בענן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למרות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שזוהי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תופעת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טבע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שכיחה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למדי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להישאר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אדישים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למראה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שמתוחה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בשלל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צבעים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ססגוניים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לרוחב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השמים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צבעי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מסודרים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אדום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כתום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צהוב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ירוק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כחול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אינדיגו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סגול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נראית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מרעותה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מהיופי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הגשמי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בענן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עמוקה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והכל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מפרשת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השבוע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נח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מבטיח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נשבע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!)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ברית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שאמורה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…)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ששנית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1"/>
        </w:rPr>
        <w:t xml:space="preserve">! 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ְׁ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ִּ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ִּ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ֶּ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ְּ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ֵּ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ינ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".(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יג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).</w:t>
      </w:r>
    </w:p>
    <w:p w:rsidR="00000000" w:rsidDel="00000000" w:rsidP="00000000" w:rsidRDefault="00000000" w:rsidRPr="00000000" w14:paraId="00000008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הברית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המיוחדת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הזאת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כולו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אפשר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להבין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בשני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אופנים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שונים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וקוטביים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בהשקפה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מסמלת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משהו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שלילי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ורע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מעין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תזכורת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שהמצב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הכלל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עולמי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גרוע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שאלמלא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הברית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וההבטחה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אלמלא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בענן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מביא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והבריאה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כולה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הייתה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נידונית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למוות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בדורות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צדיקי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עליון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מסוג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יוצא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הכלל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צדיקים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שהגינו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בזכותם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הדור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ואף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פעלו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בירור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וזיכוך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פנימי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באנשי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הדור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נראתה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בחייהם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במדרש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הובא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בפרש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מסופר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דורות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יוצאי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דופן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מעין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לדוגמא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דורו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חזקיהו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המלך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לחילופין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דורו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רשב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נראתה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כסימן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למעלתם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הנפלאה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צדיקים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יתרה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מזאת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במדרש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מסופר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שרבי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יהושע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לוי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ישב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ולמד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יחד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אליהו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זכור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לטוב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תוך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התחילו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להתפלפל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בהלכה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שנאמרה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דורות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בשמו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רשב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החליטו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שהכי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לשאול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רשב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נשמע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פשוט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?!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הבעיה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שרשב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מזמן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…</w:t>
      </w:r>
    </w:p>
    <w:p w:rsidR="00000000" w:rsidDel="00000000" w:rsidP="00000000" w:rsidRDefault="00000000" w:rsidRPr="00000000" w14:paraId="0000000A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כשלומדים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אליהו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רצינית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…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הגיעו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השניים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לפתחו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גן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עדן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וביקשו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להיכנס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להיכל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רשב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לאליהו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להיכנס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מדובר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באליהו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…</w:t>
      </w:r>
    </w:p>
    <w:p w:rsidR="00000000" w:rsidDel="00000000" w:rsidP="00000000" w:rsidRDefault="00000000" w:rsidRPr="00000000" w14:paraId="0000000B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כשאליהו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נכנס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רשב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תגיד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שנכנס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איתך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?! </w:t>
      </w:r>
    </w:p>
    <w:p w:rsidR="00000000" w:rsidDel="00000000" w:rsidP="00000000" w:rsidRDefault="00000000" w:rsidRPr="00000000" w14:paraId="0000000C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הדור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יהושע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לוי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אליהו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נראתה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בימיו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?"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רשב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אליהו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השיב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נראתה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בחייו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יהושע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קבע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שמעון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ראוי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לראות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פניי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!"</w:t>
      </w:r>
    </w:p>
    <w:p w:rsidR="00000000" w:rsidDel="00000000" w:rsidP="00000000" w:rsidRDefault="00000000" w:rsidRPr="00000000" w14:paraId="0000000F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נראה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בעצם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שלילי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משהו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חיובי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? </w:t>
      </w:r>
    </w:p>
    <w:p w:rsidR="00000000" w:rsidDel="00000000" w:rsidP="00000000" w:rsidRDefault="00000000" w:rsidRPr="00000000" w14:paraId="00000010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הזוהר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מגלה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תאמינו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מסימני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הגאולה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שבזמן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שעתידים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לצאת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מהגלות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תתקשט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בצבעים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בהירים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המתקשטת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להראות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יופיה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לבעלה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יתרה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מזאת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הזהר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פוסק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תצפה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לרגליו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משיח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נראתה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!"</w:t>
      </w:r>
    </w:p>
    <w:p w:rsidR="00000000" w:rsidDel="00000000" w:rsidP="00000000" w:rsidRDefault="00000000" w:rsidRPr="00000000" w14:paraId="00000011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נשמע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קצת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הגיוני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מצד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לחורבן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המוסרי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ומצד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סמל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ביאת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המשיח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?!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איך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יכולה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לסמל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עומק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הטוב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ועומק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הרע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ובעונה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12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הזהר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מתרץ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השאלה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ותורת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החסידות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מוסיפה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להרחיב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ולהסביר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התירוץ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בעומק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ומשמעות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מיוחדת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מורכבת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מאותם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צבעים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ובאותו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סדר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שאמרנו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סוגי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הרגילה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כולנו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מכירים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נקראת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בלשון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הזוהר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צבעים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חשוכים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לעומתה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קיימת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שניה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בעלת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צבעים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בהירים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מסמלת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ביאת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המשיח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והגאולה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אז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האחת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חשוכה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הרסנית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והשניה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בהירה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מרוממת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וחדשנית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נראית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בדיוק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אז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הפירוש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בדברי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הזוהר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בזמנינו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נראית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חשוכה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…</w:t>
      </w:r>
    </w:p>
    <w:p w:rsidR="00000000" w:rsidDel="00000000" w:rsidP="00000000" w:rsidRDefault="00000000" w:rsidRPr="00000000" w14:paraId="00000015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תמיד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לתורת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החסידות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בנושא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וזאת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בהקדם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נוספת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התחבטו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מפרשי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המקרא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הדורות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וביאור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משלו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מעשה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ניסים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תופעה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טבעית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הסבר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מדעי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פשוט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ומוצק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תופעה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פיסיקלית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אופטית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הנוצרת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כתוצאה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משבירה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קרני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בטיפות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שמקורן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בגשם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רסס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מפלים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הניתזים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ממזרקות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וכדומה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בתוך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טיפת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קרן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הלבנה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נשברת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ומתפרקת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לצבעים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המרכיבים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צבעי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הספקטרום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).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הקרן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מוחזרת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מחלקה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האחורי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הטיפה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ונשברת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שוב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כשהיא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יוצאת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ממנה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אז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התחדש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בדיוק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?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איך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תופעה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טבעית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נהייתה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סמל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לברית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קיום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16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אברבנאל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מסביר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שאמנם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בריאת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בששת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ימי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שאכן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בפרקי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אבות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),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נראתה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מכיון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שהעננים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עבים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מדי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בכדי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לשקף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קרני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היוצאים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השמש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בדוגמת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חתיכת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מתכת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עבה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עמומה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ומגושמת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יכולה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לשמש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כמראה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כמחזיר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בגלל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העובי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והגסות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לעומת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השתנה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העננים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נהיו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עדינים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דקים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ומעובדים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מסוגלים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לשקף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ולפצל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קרני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השמש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ולגרום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לתופעת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בענן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לדוגמא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ליטוש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מתכת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זכוכית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לוקחים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מתכת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זכוכית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עבה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ויוצרים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ממנה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מראה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עדינה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ובהירה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במישור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הרוחני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הדברים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מסבירה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תורת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החסידות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גרם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ליטוש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הרוחני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מציאות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בשפל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המדריגה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נחות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מגושם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ואטום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לחלוטין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אלוקי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קליפות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וסטרא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אחרא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שייך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בירור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זיכוך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תיקון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הגיע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מנת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לטהר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ולהוציא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מהטומאה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למצב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לברר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ולזכך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יתרה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מזאת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טבעי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העננים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נוצרים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האדים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שעולים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האדמה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("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ואד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יעלה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הארץ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עננים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גסים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מסמלים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מציאות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הגסה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ואילו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העננים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הפכו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דלילים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המסמל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הזיכוך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שנפעל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האמור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נוכל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להביא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ההבדל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החשוכה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הבהירה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המסמלת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ביאת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המשיח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החשוכה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מתארת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לפני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עבודת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הבירורים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ראשוני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והתחלתי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ניתנת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האפשרות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לאדם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לברר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האלוקי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עדיין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מאיר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שצריך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..)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חשוך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! </w:t>
      </w:r>
    </w:p>
    <w:p w:rsidR="00000000" w:rsidDel="00000000" w:rsidP="00000000" w:rsidRDefault="00000000" w:rsidRPr="00000000" w14:paraId="0000001A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בסיום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עבודת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הבירורים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ובהתחלת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הגילויים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האלוקי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אמור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לחדור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במלואו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ומכיון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ששורש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הבירורים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במדריגות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הגבוהות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ביותר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האלוקי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התוהו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וכדומה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לכן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אז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יאירו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!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זוהי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המשמעות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הפנימית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מאירה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-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אלוקי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המתגלה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כתוצאה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מסוד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הבירורים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ועכשיו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בדורנו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הצהיר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הרבי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מלך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המשיח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שנסתיימה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עבודת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הבירורים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באמת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זכאים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לאותה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מאירה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כסמל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לביאת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הגאולה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B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ובדומה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לקשת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בעלת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המצבים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אנחנו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מוצאים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עצמנו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לפעמים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בשני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מצבים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ועלינו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להבחין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איזה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מצב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השתיים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הנכון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והראוי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סיפור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מעניין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אותי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שמעתי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כהן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לאדמו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הצמח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צדק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דוד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וכך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כינויו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הדוד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שישי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נכנס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למקווה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לטבול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לקראת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וכדרכם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יהודים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פצח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בניהול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בעומדו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תחת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המקלחת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פיטר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המלך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הפיל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הבורסה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ויצא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למלחמה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האיש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שעמד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מולו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התווכח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בלהט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וטען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שהאמת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הפוכה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בסופו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סיכמו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להיפגש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עוד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חצי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שעה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בביתו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פרוסת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קוגל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טובה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ולקבל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החלטות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shd w:fill="ffffff" w:val="clear"/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חזר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הביתה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וכיון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שבמהותו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נעלה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הוציא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מהארון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חומש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והחל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לחזור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הפרשה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שאלות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במוחו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פתח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ספרים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ורמב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אור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החיים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וספורנו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ושקע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בעולמה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לפתע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נשמעה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דפיקה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בדלת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סהרורי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לפתוח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וראה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מולו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יהודי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שאל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רצונו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והאיש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ענה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מהמקווה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סיכמנו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להמשיך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להתווכח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פרוסת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קוגל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".</w:t>
      </w:r>
    </w:p>
    <w:p w:rsidR="00000000" w:rsidDel="00000000" w:rsidP="00000000" w:rsidRDefault="00000000" w:rsidRPr="00000000" w14:paraId="0000001F">
      <w:pPr>
        <w:shd w:fill="ffffff" w:val="clear"/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-"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השיב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קודם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דיברת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מהמקווה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עכשיו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לגמרי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..."</w:t>
      </w:r>
    </w:p>
    <w:p w:rsidR="00000000" w:rsidDel="00000000" w:rsidP="00000000" w:rsidRDefault="00000000" w:rsidRPr="00000000" w14:paraId="00000020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שתי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קשתות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ושני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יוסל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ואתם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תבחרו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ואיך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להיות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1">
      <w:pPr>
        <w:bidi w:val="1"/>
        <w:spacing w:after="100" w:before="100"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שלום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1"/>
        </w:rPr>
        <w:t xml:space="preserve">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