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הגאולה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תשמח</w:t>
      </w:r>
    </w:p>
    <w:p w:rsidR="00000000" w:rsidDel="00000000" w:rsidP="00000000" w:rsidRDefault="00000000" w:rsidRPr="00000000" w14:paraId="00000005">
      <w:pPr>
        <w:pStyle w:val="Heading3"/>
        <w:bidi w:val="1"/>
        <w:rPr>
          <w:rFonts w:ascii="Alef" w:cs="Alef" w:eastAsia="Alef" w:hAnsi="Alef"/>
        </w:rPr>
      </w:pPr>
      <w:bookmarkStart w:colFirst="0" w:colLast="0" w:name="_4a9knnqwax4w" w:id="0"/>
      <w:bookmarkEnd w:id="0"/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בעיר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הידועה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נפסק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לציבור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מכין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הבדיחות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יקלטו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</w:p>
    <w:p w:rsidR="00000000" w:rsidDel="00000000" w:rsidP="00000000" w:rsidRDefault="00000000" w:rsidRPr="00000000" w14:paraId="0000000A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מתמקד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במאורעות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וסיפורי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קביעות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אלול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המסוגל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אתם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בוודאי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שואלים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ראשית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מתחילין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לדרוש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הסוכות</w:t>
      </w:r>
      <w:r w:rsidDel="00000000" w:rsidR="00000000" w:rsidRPr="00000000">
        <w:rPr>
          <w:rFonts w:ascii="Alef" w:cs="Alef" w:eastAsia="Alef" w:hAnsi="Alef"/>
          <w:rtl w:val="1"/>
        </w:rPr>
        <w:t xml:space="preserve"> ("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החג</w:t>
      </w:r>
      <w:r w:rsidDel="00000000" w:rsidR="00000000" w:rsidRPr="00000000">
        <w:rPr>
          <w:rFonts w:ascii="Alef" w:cs="Alef" w:eastAsia="Alef" w:hAnsi="Alef"/>
          <w:rtl w:val="1"/>
        </w:rPr>
        <w:t xml:space="preserve">"), </w:t>
      </w:r>
      <w:r w:rsidDel="00000000" w:rsidR="00000000" w:rsidRPr="00000000">
        <w:rPr>
          <w:rFonts w:ascii="Alef" w:cs="Alef" w:eastAsia="Alef" w:hAnsi="Alef"/>
          <w:rtl w:val="1"/>
        </w:rPr>
        <w:t xml:space="preserve">חג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שזכה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לשם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שמחתינו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כפולה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באלוקיו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דורשים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בהלכות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החג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דורשים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מאיתנו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לשמוח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ולהתחיל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להרגיש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לטובה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לטובה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הקהל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המורה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ושלימות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המוסיף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ומעצים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חסידי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יודעים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שבערב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הנישואין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ריי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צ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בשנת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תרנ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תוקף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הנישואין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האורגינלית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שישי</w:t>
      </w:r>
      <w:r w:rsidDel="00000000" w:rsidR="00000000" w:rsidRPr="00000000">
        <w:rPr>
          <w:rFonts w:ascii="Alef" w:cs="Alef" w:eastAsia="Alef" w:hAnsi="Alef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נישואין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פרטי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מהשמחות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מכולם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כשמדובר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פרטי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כיחיד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נכון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בנוגע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לנישואי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מכיון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נישואיו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החל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סדרת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מאמרים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ארוכה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המשתרעת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למעלה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דפים</w:t>
      </w:r>
      <w:r w:rsidDel="00000000" w:rsidR="00000000" w:rsidRPr="00000000">
        <w:rPr>
          <w:rFonts w:ascii="Alef" w:cs="Alef" w:eastAsia="Alef" w:hAnsi="Alef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rtl w:val="1"/>
        </w:rPr>
        <w:t xml:space="preserve">הידועה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שמח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תשמח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באריכות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חשיבות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נלאה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'. (</w:t>
      </w:r>
      <w:r w:rsidDel="00000000" w:rsidR="00000000" w:rsidRPr="00000000">
        <w:rPr>
          <w:rFonts w:ascii="Alef" w:cs="Alef" w:eastAsia="Alef" w:hAnsi="Alef"/>
          <w:rtl w:val="1"/>
        </w:rPr>
        <w:t xml:space="preserve">למעשה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האימרה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המפורסמת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פורצת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גדר</w:t>
      </w:r>
      <w:r w:rsidDel="00000000" w:rsidR="00000000" w:rsidRPr="00000000">
        <w:rPr>
          <w:rFonts w:ascii="Alef" w:cs="Alef" w:eastAsia="Alef" w:hAnsi="Alef"/>
          <w:rtl w:val="1"/>
        </w:rPr>
        <w:t xml:space="preserve">" - </w:t>
      </w:r>
      <w:r w:rsidDel="00000000" w:rsidR="00000000" w:rsidRPr="00000000">
        <w:rPr>
          <w:rFonts w:ascii="Alef" w:cs="Alef" w:eastAsia="Alef" w:hAnsi="Alef"/>
          <w:rtl w:val="1"/>
        </w:rPr>
        <w:t xml:space="preserve">מקורה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!)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בהתוועדות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נפלאה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בשנת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תשמ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שהיתה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קביעות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הקדיש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ההתוועדות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לנושא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העמוק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ראשית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מגולות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הכותרת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ספק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ישעי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מתבטא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האלה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ופדויי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יהוה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ישבון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ציון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ושמחת</w:t>
      </w:r>
      <w:r w:rsidDel="00000000" w:rsidR="00000000" w:rsidRPr="00000000">
        <w:rPr>
          <w:rFonts w:ascii="Alef" w:cs="Alef" w:eastAsia="Alef" w:hAnsi="Alef"/>
          <w:highlight w:val="white"/>
          <w:rtl w:val="0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ראשם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ששון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ישיגו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ונסו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יגון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ואנחה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ציון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מקור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כזו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המוגדרת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בפסוק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נצחית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ואינסופית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וריע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עוצמית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שהדוגמא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היחידה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שניתן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לדמות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ולהשוות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המושגים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נישואין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ברכות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משווים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ותפילה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הנישואין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לשמחתו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החטא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תשמח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כשמחך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יצירך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מקדם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ששון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וקול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חתנים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מחופתם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רוצים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להדגיש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ולהבליט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העוצמה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הטמונה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נותנת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לאדם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חופש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ושחרור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משחררת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מתחים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ולחצים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פנימיים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/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חיצוניים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גורמת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להרגיש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טעימה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פרטית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וכללית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ענין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מבלבל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מטריד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ההשוואה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מתחזקת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שבעתיים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כשנשים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לעובדה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פורץ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מצאצאיו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פרץ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יהודה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תפקידו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העיקרי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לפרוץ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ולבטל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מדידות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והגבלות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וזוהי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תכונתה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כפי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שהזכרנו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בהמשך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לביאור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הנפלא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חדשנית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ומעניינת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שניסינו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התוועדויות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ערכו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בהפצת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המעיינות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עוסקים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מזמן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הבעש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תהלים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אמרו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למכביר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צדקה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נתנו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בשופי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ותמיד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להוסיף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..) 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לנסות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עשינו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שעדין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הרצוי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להביא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"!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הכוונה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כפשוטה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עבדו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עיקר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הדגש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המצוה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הנגזרת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מרגש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עצמה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נהיית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טפל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ומזערי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המשמש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ככלי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להגיע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למטרה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וכאמצעי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להגיע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לתכלית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שנדרש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מאיתנו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מעכשיו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בטהרתה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מטרה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ותכלית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כתוב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בנביא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מרומז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בסידור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בנוסח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ברכות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כנ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קודם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???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התשובה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פשוטה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כשנמצאים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בחושך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קרוב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וכשנמצאים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בצער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מרגישים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כוחה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לפינה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בחשכת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וצער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לדרוש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וקשה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להרגיש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עוצמתה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החיונית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בדורות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הקודמים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הדרך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הסלולה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בדורנו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הבטיח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ינסו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ויווכחו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נוסיף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בטהרתה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נזכה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במהרה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לביאת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בהזדמנות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השואבה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יבוא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מישהו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וישאל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שמעת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מפורסם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בעתונים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מגיע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!"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בסיום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התוועדות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מרוממת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התחיל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ניגון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ההקפות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יצחק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עמד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קומתו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ורקד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גדולה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נהג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לספר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יקותיאל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ראפ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מטה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מוסד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שהוקם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בעקבות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מנחם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תמוז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נערך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כינוס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הודיה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לרופאים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770.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בכינוס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נכחו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פלדמן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ויבלחט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אליהו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רוזן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התבקש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לנאום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הקהל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הזדמנות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שפעם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קרא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ומלמל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באוזנו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משפטים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הצליח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בצורה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ואותם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!"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סיפור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חזר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עשרות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צמד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ברורים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האמור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צמד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האחרונות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ששמענו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מעניין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לציין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חמישי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המאורע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שקרה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התקיים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770,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ולפתע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המזכיר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גרונר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בשידור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מחדרו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רפואה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קרובה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קרובה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מרומם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ששמעתי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לאחרונה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השואה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בחורי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ישיבה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יהודיפ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פשוטים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הובלו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לתא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הגזים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ממחנות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ההשמדה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מהבחורים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החליט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התחיל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להמריץ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חבריו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לפתוח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ריקודים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ועדיין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עשינו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הקפות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ארון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כנסת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לרקוד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הצליח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לשכנע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מחבריו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להצטרף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למחול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והזמרה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לאזניו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מקציני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ימ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כשרצח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בעיניו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שקט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צעק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הפסיק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לקצין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באומץ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וגבורה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333333"/>
          <w:sz w:val="29"/>
          <w:szCs w:val="29"/>
          <w:highlight w:val="white"/>
          <w:rtl w:val="0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זוכים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להיפרד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רשעים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כמוכם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רגע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עורכים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פגישה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הורינו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ומשפחותינו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ששלחתם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מכאן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למעלה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!!!..."</w:t>
      </w:r>
      <w:r w:rsidDel="00000000" w:rsidR="00000000" w:rsidRPr="00000000">
        <w:rPr>
          <w:rFonts w:ascii="Alef" w:cs="Alef" w:eastAsia="Alef" w:hAnsi="Alef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הקצין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במרוב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כעס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וחמה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שפוכה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ידע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נפשו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קבוצת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בחורים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בצעקות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רמות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לשמוח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כולנו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מהתא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יטפל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!!!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לקראת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ערב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מוצאי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לפתע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פקודה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מהוורמאכט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המפקדה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העליונה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שבברלין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קצין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בדחיפות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נלקח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למחנה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מרוחק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ניצלו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ממוות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הבחורים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3">
      <w:pPr>
        <w:bidi w:val="1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>
          <w:rFonts w:ascii="Alef" w:cs="Alef" w:eastAsia="Alef" w:hAnsi="Ale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735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