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ענווים</w:t>
      </w:r>
      <w:r w:rsidDel="00000000" w:rsidR="00000000" w:rsidRPr="00000000">
        <w:rPr>
          <w:b w:val="1"/>
          <w:sz w:val="30"/>
          <w:szCs w:val="30"/>
          <w:rtl w:val="1"/>
        </w:rPr>
        <w:t xml:space="preserve">, (</w:t>
      </w:r>
      <w:r w:rsidDel="00000000" w:rsidR="00000000" w:rsidRPr="00000000">
        <w:rPr>
          <w:b w:val="1"/>
          <w:sz w:val="30"/>
          <w:szCs w:val="30"/>
          <w:rtl w:val="1"/>
        </w:rPr>
        <w:t xml:space="preserve">לכן</w:t>
      </w:r>
      <w:r w:rsidDel="00000000" w:rsidR="00000000" w:rsidRPr="00000000">
        <w:rPr>
          <w:b w:val="1"/>
          <w:sz w:val="30"/>
          <w:szCs w:val="30"/>
          <w:rtl w:val="1"/>
        </w:rPr>
        <w:t xml:space="preserve">) </w:t>
      </w:r>
      <w:r w:rsidDel="00000000" w:rsidR="00000000" w:rsidRPr="00000000">
        <w:rPr>
          <w:b w:val="1"/>
          <w:sz w:val="30"/>
          <w:szCs w:val="30"/>
          <w:rtl w:val="1"/>
        </w:rPr>
        <w:t xml:space="preserve">הגיע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זמן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גאולתכם</w:t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1"/>
        </w:rPr>
        <w:t xml:space="preserve">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לקו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בהעלותך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בהעלותך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jc w:val="center"/>
        <w:rPr/>
      </w:pPr>
      <w:bookmarkStart w:colFirst="0" w:colLast="0" w:name="_qvveixy085w0" w:id="0"/>
      <w:bookmarkEnd w:id="0"/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ענוה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מפורסמת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.."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אפס</w:t>
      </w:r>
      <w:r w:rsidDel="00000000" w:rsidR="00000000" w:rsidRPr="00000000">
        <w:rPr>
          <w:rtl w:val="1"/>
        </w:rPr>
        <w:t xml:space="preserve">…"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נענה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הבחור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שבטוח</w:t>
      </w:r>
      <w:r w:rsidDel="00000000" w:rsidR="00000000" w:rsidRPr="00000000">
        <w:rPr>
          <w:rtl w:val="1"/>
        </w:rPr>
        <w:t xml:space="preserve">…</w:t>
      </w:r>
      <w:r w:rsidDel="00000000" w:rsidR="00000000" w:rsidRPr="00000000">
        <w:rPr>
          <w:rtl w:val="1"/>
        </w:rPr>
        <w:t xml:space="preserve">שניכם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לאפס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בהעלותך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בתואר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b w:val="1"/>
          <w:rtl w:val="1"/>
        </w:rPr>
        <w:t xml:space="preserve">מעלת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ומנהיגי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למנהיג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תקיפות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אכפתיות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b w:val="1"/>
        </w:rPr>
      </w:pP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הקוטבי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מסמלת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שמרגיש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מרגיש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/>
      </w:pP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ההרגשה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…</w:t>
      </w:r>
      <w:r w:rsidDel="00000000" w:rsidR="00000000" w:rsidRPr="00000000">
        <w:rPr>
          <w:b w:val="1"/>
          <w:rtl w:val="1"/>
        </w:rPr>
        <w:t xml:space="preserve">תאוה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התאוה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גאוה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אגוצנטרית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אינטרסנטיות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במחוזותינו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הקלוקלות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שמשחיתות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והשלימה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ענוה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עניו</w:t>
      </w:r>
      <w:r w:rsidDel="00000000" w:rsidR="00000000" w:rsidRPr="00000000">
        <w:rPr>
          <w:rtl w:val="1"/>
        </w:rPr>
        <w:t xml:space="preserve">/(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'=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שפלותם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)!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בהסתכלות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סמרטוט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הנדרסת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ואגוצנטרים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והמסר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..) 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להתמסר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ולהאדיר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ונסיים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מספרים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דוקשיץ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מתנגדים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שחשבו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המתנגדים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ממלחמתם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דאתרא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כינוהו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ind w:left="720" w:firstLine="0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1"/>
          </w:rPr>
          <w:t xml:space="preserve">מבוסס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על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שיעור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משיח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בפרשה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1"/>
          </w:rPr>
          <w:t xml:space="preserve">מהמחזור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החמישי</w:t>
        </w:r>
      </w:hyperlink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, 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לשיעור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המלא</w:t>
        </w:r>
      </w:hyperlink>
      <w:hyperlink r:id="rId2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u w:val="single"/>
            <w:rtl w:val="1"/>
          </w:rPr>
          <w:t xml:space="preserve">לחץ</w:t>
        </w:r>
      </w:hyperlink>
      <w:hyperlink r:id="rId2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iu84e9Wh3jaUIFnHVJkqD9Nj7m_aAR91/view?usp=sharing" TargetMode="External"/><Relationship Id="rId22" Type="http://schemas.openxmlformats.org/officeDocument/2006/relationships/hyperlink" Target="https://drive.google.com/file/d/1iu84e9Wh3jaUIFnHVJkqD9Nj7m_aAR91/view?usp=sharing" TargetMode="External"/><Relationship Id="rId21" Type="http://schemas.openxmlformats.org/officeDocument/2006/relationships/hyperlink" Target="https://drive.google.com/file/d/1iu84e9Wh3jaUIFnHVJkqD9Nj7m_aAR91/view?usp=sharing" TargetMode="External"/><Relationship Id="rId24" Type="http://schemas.openxmlformats.org/officeDocument/2006/relationships/hyperlink" Target="https://drive.google.com/file/d/1iu84e9Wh3jaUIFnHVJkqD9Nj7m_aAR91/view?usp=sharing" TargetMode="External"/><Relationship Id="rId23" Type="http://schemas.openxmlformats.org/officeDocument/2006/relationships/hyperlink" Target="https://drive.google.com/file/d/1iu84e9Wh3jaUIFnHVJkqD9Nj7m_aAR91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iu84e9Wh3jaUIFnHVJkqD9Nj7m_aAR91/view?usp=sharing" TargetMode="External"/><Relationship Id="rId26" Type="http://schemas.openxmlformats.org/officeDocument/2006/relationships/hyperlink" Target="https://drive.google.com/file/d/1iu84e9Wh3jaUIFnHVJkqD9Nj7m_aAR91/view?usp=sharing" TargetMode="External"/><Relationship Id="rId25" Type="http://schemas.openxmlformats.org/officeDocument/2006/relationships/hyperlink" Target="https://drive.google.com/file/d/1iu84e9Wh3jaUIFnHVJkqD9Nj7m_aAR91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iu84e9Wh3jaUIFnHVJkqD9Nj7m_aAR91/view?usp=sharing" TargetMode="External"/><Relationship Id="rId7" Type="http://schemas.openxmlformats.org/officeDocument/2006/relationships/hyperlink" Target="https://drive.google.com/file/d/1iu84e9Wh3jaUIFnHVJkqD9Nj7m_aAR91/view?usp=sharing" TargetMode="External"/><Relationship Id="rId8" Type="http://schemas.openxmlformats.org/officeDocument/2006/relationships/hyperlink" Target="https://drive.google.com/file/d/1iu84e9Wh3jaUIFnHVJkqD9Nj7m_aAR91/view?usp=sharing" TargetMode="External"/><Relationship Id="rId11" Type="http://schemas.openxmlformats.org/officeDocument/2006/relationships/hyperlink" Target="https://drive.google.com/file/d/1iu84e9Wh3jaUIFnHVJkqD9Nj7m_aAR91/view?usp=sharing" TargetMode="External"/><Relationship Id="rId10" Type="http://schemas.openxmlformats.org/officeDocument/2006/relationships/hyperlink" Target="https://drive.google.com/file/d/1iu84e9Wh3jaUIFnHVJkqD9Nj7m_aAR91/view?usp=sharing" TargetMode="External"/><Relationship Id="rId13" Type="http://schemas.openxmlformats.org/officeDocument/2006/relationships/hyperlink" Target="https://drive.google.com/file/d/1iu84e9Wh3jaUIFnHVJkqD9Nj7m_aAR91/view?usp=sharing" TargetMode="External"/><Relationship Id="rId12" Type="http://schemas.openxmlformats.org/officeDocument/2006/relationships/hyperlink" Target="https://drive.google.com/file/d/1iu84e9Wh3jaUIFnHVJkqD9Nj7m_aAR91/view?usp=sharing" TargetMode="External"/><Relationship Id="rId15" Type="http://schemas.openxmlformats.org/officeDocument/2006/relationships/hyperlink" Target="https://drive.google.com/file/d/1iu84e9Wh3jaUIFnHVJkqD9Nj7m_aAR91/view?usp=sharing" TargetMode="External"/><Relationship Id="rId14" Type="http://schemas.openxmlformats.org/officeDocument/2006/relationships/hyperlink" Target="https://drive.google.com/file/d/1iu84e9Wh3jaUIFnHVJkqD9Nj7m_aAR91/view?usp=sharing" TargetMode="External"/><Relationship Id="rId17" Type="http://schemas.openxmlformats.org/officeDocument/2006/relationships/hyperlink" Target="https://drive.google.com/file/d/1iu84e9Wh3jaUIFnHVJkqD9Nj7m_aAR91/view?usp=sharing" TargetMode="External"/><Relationship Id="rId16" Type="http://schemas.openxmlformats.org/officeDocument/2006/relationships/hyperlink" Target="https://drive.google.com/file/d/1iu84e9Wh3jaUIFnHVJkqD9Nj7m_aAR91/view?usp=sharing" TargetMode="External"/><Relationship Id="rId19" Type="http://schemas.openxmlformats.org/officeDocument/2006/relationships/hyperlink" Target="https://drive.google.com/file/d/1iu84e9Wh3jaUIFnHVJkqD9Nj7m_aAR91/view?usp=sharing" TargetMode="External"/><Relationship Id="rId18" Type="http://schemas.openxmlformats.org/officeDocument/2006/relationships/hyperlink" Target="https://drive.google.com/file/d/1iu84e9Wh3jaUIFnHVJkqD9Nj7m_aAR91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