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6"/>
          <w:szCs w:val="36"/>
        </w:rPr>
      </w:pP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האם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חיי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חינם</w:t>
      </w:r>
      <w:r w:rsidDel="00000000" w:rsidR="00000000" w:rsidRPr="00000000">
        <w:rPr>
          <w:rFonts w:ascii="Alef" w:cs="Alef" w:eastAsia="Alef" w:hAnsi="Alef"/>
          <w:b w:val="1"/>
          <w:sz w:val="36"/>
          <w:szCs w:val="36"/>
          <w:rtl w:val="1"/>
        </w:rPr>
        <w:t xml:space="preserve">?!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אגרות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קודש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rtl w:val="1"/>
        </w:rPr>
        <w:t xml:space="preserve">עמוד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קמא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ואילך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720" w:firstLine="0"/>
        <w:rPr>
          <w:rFonts w:ascii="Alef" w:cs="Alef" w:eastAsia="Alef" w:hAnsi="Alef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מהו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ומי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יזכה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sz w:val="30"/>
          <w:szCs w:val="30"/>
          <w:rtl w:val="1"/>
        </w:rPr>
        <w:t xml:space="preserve">?</w:t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זוג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נשוי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חמישים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העמוד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בפתח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סיור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קצר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המקוה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מדרש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</w:p>
    <w:p w:rsidR="00000000" w:rsidDel="00000000" w:rsidP="00000000" w:rsidRDefault="00000000" w:rsidRPr="00000000" w14:paraId="00000009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הבעל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המקווה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חברות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שנתית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המדרש</w:t>
      </w:r>
      <w:r w:rsidDel="00000000" w:rsidR="00000000" w:rsidRPr="00000000">
        <w:rPr>
          <w:rFonts w:ascii="Alef" w:cs="Alef" w:eastAsia="Alef" w:hAnsi="Alef"/>
          <w:rtl w:val="1"/>
        </w:rPr>
        <w:t xml:space="preserve">?!"</w:t>
      </w:r>
    </w:p>
    <w:p w:rsidR="00000000" w:rsidDel="00000000" w:rsidP="00000000" w:rsidRDefault="00000000" w:rsidRPr="00000000" w14:paraId="0000000A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בחינם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B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המשיך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בסיור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מגרשי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הטניס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ובהמשך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הרחוב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נמצאות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המסעדות</w:t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</w:p>
    <w:p w:rsidR="00000000" w:rsidDel="00000000" w:rsidP="00000000" w:rsidRDefault="00000000" w:rsidRPr="00000000" w14:paraId="0000000C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האישה</w:t>
      </w:r>
      <w:r w:rsidDel="00000000" w:rsidR="00000000" w:rsidRPr="00000000">
        <w:rPr>
          <w:rFonts w:ascii="Alef" w:cs="Alef" w:eastAsia="Alef" w:hAnsi="Alef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עולה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ארוחה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זוגית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ממוצעת</w:t>
      </w:r>
      <w:r w:rsidDel="00000000" w:rsidR="00000000" w:rsidRPr="00000000">
        <w:rPr>
          <w:rFonts w:ascii="Alef" w:cs="Alef" w:eastAsia="Alef" w:hAnsi="Alef"/>
          <w:rtl w:val="1"/>
        </w:rPr>
        <w:t xml:space="preserve">?"</w:t>
      </w:r>
    </w:p>
    <w:p w:rsidR="00000000" w:rsidDel="00000000" w:rsidP="00000000" w:rsidRDefault="00000000" w:rsidRPr="00000000" w14:paraId="0000000D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גברתי</w:t>
      </w:r>
      <w:r w:rsidDel="00000000" w:rsidR="00000000" w:rsidRPr="00000000">
        <w:rPr>
          <w:rFonts w:ascii="Alef" w:cs="Alef" w:eastAsia="Alef" w:hAnsi="Alef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בחינם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0E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הראה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הסוויטה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בעלת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עשרה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חדרי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שינה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מטבח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מרווח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נוף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מדהים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…</w:t>
      </w:r>
    </w:p>
    <w:p w:rsidR="00000000" w:rsidDel="00000000" w:rsidP="00000000" w:rsidRDefault="00000000" w:rsidRPr="00000000" w14:paraId="0000000F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וכמה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השכירות</w:t>
      </w:r>
      <w:r w:rsidDel="00000000" w:rsidR="00000000" w:rsidRPr="00000000">
        <w:rPr>
          <w:rFonts w:ascii="Alef" w:cs="Alef" w:eastAsia="Alef" w:hAnsi="Alef"/>
          <w:rtl w:val="1"/>
        </w:rPr>
        <w:t xml:space="preserve">?" </w:t>
      </w:r>
      <w:r w:rsidDel="00000000" w:rsidR="00000000" w:rsidRPr="00000000">
        <w:rPr>
          <w:rFonts w:ascii="Alef" w:cs="Alef" w:eastAsia="Alef" w:hAnsi="Alef"/>
          <w:rtl w:val="1"/>
        </w:rPr>
        <w:t xml:space="preserve">שאלו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שניהם</w:t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רבותי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גן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בחינם</w:t>
      </w:r>
      <w:r w:rsidDel="00000000" w:rsidR="00000000" w:rsidRPr="00000000">
        <w:rPr>
          <w:rFonts w:ascii="Alef" w:cs="Alef" w:eastAsia="Alef" w:hAnsi="Alef"/>
          <w:rtl w:val="1"/>
        </w:rPr>
        <w:t xml:space="preserve">!" </w:t>
      </w:r>
      <w:r w:rsidDel="00000000" w:rsidR="00000000" w:rsidRPr="00000000">
        <w:rPr>
          <w:rFonts w:ascii="Alef" w:cs="Alef" w:eastAsia="Alef" w:hAnsi="Alef"/>
          <w:rtl w:val="1"/>
        </w:rPr>
        <w:t xml:space="preserve">ענה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המלאך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בשלישית</w:t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Fonts w:ascii="Alef" w:cs="Alef" w:eastAsia="Alef" w:hAnsi="Alef"/>
          <w:rtl w:val="1"/>
        </w:rPr>
        <w:t xml:space="preserve">כשהבעל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שמע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התרגז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ואי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להרגיע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rtl w:val="1"/>
        </w:rPr>
        <w:t xml:space="preserve">?" </w:t>
      </w:r>
      <w:r w:rsidDel="00000000" w:rsidR="00000000" w:rsidRPr="00000000">
        <w:rPr>
          <w:rFonts w:ascii="Alef" w:cs="Alef" w:eastAsia="Alef" w:hAnsi="Alef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הגברת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קשקושי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הבריאות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שלך</w:t>
      </w:r>
      <w:r w:rsidDel="00000000" w:rsidR="00000000" w:rsidRPr="00000000">
        <w:rPr>
          <w:rFonts w:ascii="Alef" w:cs="Alef" w:eastAsia="Alef" w:hAnsi="Alef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rtl w:val="1"/>
        </w:rPr>
        <w:t xml:space="preserve">הייתי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פה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rtl w:val="1"/>
        </w:rPr>
        <w:t xml:space="preserve"> 15 </w:t>
      </w:r>
      <w:r w:rsidDel="00000000" w:rsidR="00000000" w:rsidRPr="00000000">
        <w:rPr>
          <w:rFonts w:ascii="Alef" w:cs="Alef" w:eastAsia="Alef" w:hAnsi="Alef"/>
          <w:rtl w:val="1"/>
        </w:rPr>
        <w:t xml:space="preserve">שנה</w:t>
      </w:r>
      <w:r w:rsidDel="00000000" w:rsidR="00000000" w:rsidRPr="00000000">
        <w:rPr>
          <w:rFonts w:ascii="Alef" w:cs="Alef" w:eastAsia="Alef" w:hAnsi="Alef"/>
          <w:rtl w:val="1"/>
        </w:rPr>
        <w:t xml:space="preserve">!"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מסיימת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באיסורי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הקריבה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לעריות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איסורים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חמורים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הגוררים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איתם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סימפטי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איסורים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מביאים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לעונש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החמור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איסור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אכילת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חלב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ודם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המוזכר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בפרשתינו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אכילת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חמץ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בפסח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ועד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ועוד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המשנה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כריתות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מונה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פחות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משלושים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ושש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עבירות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המחייבות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העונש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הנורא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בימי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ספירת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העומר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בהם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נמצאים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עכשיו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מדי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בשבתו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לומדים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/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קוראים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פרקי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אבות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ובתחילת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ופרק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מוסיפים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המשנה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הידועה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שבכלל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אינה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מופיעה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במסכת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אבות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המשנה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בתחילת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הפרק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העשירי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והאחרון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סנהדרין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) "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שנאמר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ישעיה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ועמך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צדיקים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יירשו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ארץ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נצר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מטעי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מעשי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להתפאר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וכאן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שואל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לתווך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מבטיחה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מבלי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יוצא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מהכלל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יזכו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לציין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שרבו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ההסברים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והביאורים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במהות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הסבר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אגרת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לאדה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פרק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מהווה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מיתה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גיל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חמישים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פירוש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סתירה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הבטחת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נצחיים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חיי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בואו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ונתמקד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פירושו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פוסק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נחרצות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הטובה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הצפונה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לצדיקים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ופרעון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הרשעים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יזכו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יכרתו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וימותו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...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הכתובה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שנאמר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הנפש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ההיא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מפי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השמועה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למדו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תכרת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."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סתירה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ברורה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לדברי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המשנה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המשנה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מבטיחה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הרמב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פוסק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בערבון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מוגבל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….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שיאמרו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אהה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ראיתם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משחקים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טובות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שצריך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עתיד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לשלם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וביוקר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!" </w:t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מתחיל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יודע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שמזוית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וככה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נשאל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לנושא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התחלת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הנשיאות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בחודש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סיון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תמוז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שנת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ערך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סדרי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משנה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שבמהלכו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השמיע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בסגנון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רשע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גמור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ימיו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תקוה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צרמו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לאזנם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חסידים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מודעים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לצורת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החשיבה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וזווית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הראיה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במכתב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היתכן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מסתדר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..???"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כתב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ארוך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ומפורט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מראי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מקומות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בנגלה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ובנסתר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המסביר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השיטה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המיוחדת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שרק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מליובאוויטש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ראשית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מביא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מקומות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ממנו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רואים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עתיד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והמבין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…)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ולדוגמא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נביא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דברי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התלמוד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חגיגה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לקיש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גיהנם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שולטת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וחומר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ממזבח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הזהב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מזבח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הזהב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כעובי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דינר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שולטת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שמלאין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כרמון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…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וכמה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ולאחר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מאריך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להסביר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ליישב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הסתירות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בנושא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להבדיל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נסיבות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חיצוניות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וצדדיות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שקרו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יקרו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הזמן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מביא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מקורות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תלמודיים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לפיהם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בגזר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דינו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שנחרץ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שורת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מסוים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מגיע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רוע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מעלליו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וכך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שדינו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ישתנה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יקבל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חלקו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כתוצאה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מאחד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משלשת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בסתר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בסוף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ימיו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ידיעת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מקום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דינו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עתיד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להשתנות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יעמוד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לתחיה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ברשעו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צאצאיו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יכולים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לזכות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בעבורו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ומעשים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טובים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אביהם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זקנם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מזאת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בגמרא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תפילת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מישהו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יכולה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להביאו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רשע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ואפיקורוס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דוגמא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התלמודי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המפורסם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הועילה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תפילתו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יוחנן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אלישע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אבויה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בגיהנם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דורי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דורות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ועשן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שחור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יוצא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מקברו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לגן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עדן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ולתחיית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מצאצאיו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מעשים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טובים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למענו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התפלל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בשבילו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עדיין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תקווה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 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שעונשים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מסוימים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יקבל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מצבו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הרוחני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יגרמו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לזיכוך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כללי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מציאותו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וישנו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דינו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בואו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ונקח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ירבעם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נבט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וחביריו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עליהם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נפסק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במפורש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במקורות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ויחד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בתלמוד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הירושלמי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כלאים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שמכיון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ששנים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רבות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פטירתם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נשרפה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ארץ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ויחד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איתה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נשרפו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גופותיהם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ובצירוף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הזכות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נקברו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בארץ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יזכו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לקום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לתחיה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יהויקים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המלך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שהגמרא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סנהדרין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אומרת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שמצידו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מעשיו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ראוי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להימנות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ירבעם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אחאב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ומנשה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הידועים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לשמצה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כאחד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יקומו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לתחיה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מכיון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התבזה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בבזיון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צורב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מיתתו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נמחל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הכבוד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נודניק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שעדיין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מתעקש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ושואל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משלשת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האופנים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הנ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תשובה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תפילה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ומעשים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טובים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עונש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..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??!"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במקרה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הגרוע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מביא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מדברי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ההאריז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שרק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גופם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יחידים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יעמוד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בתחיית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המתים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נשמתם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הקדושה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והטהורה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תבוא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בגלגול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בגוף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גוף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מזוכך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וככה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יזכה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ותמיד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חכמים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בלילה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שישאלו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ככה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מקבלים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לעבוד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לעמול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ולטרוח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נהנה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העבודה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הקשה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נשאיר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למישהו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)..."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תורת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הקבלה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שעונש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הכרת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יתקיים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ותהליך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התחיה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נשמות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נעים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במיוחד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ששווה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לקנאות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תהליך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ארוך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מלווה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בהרבה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יסורים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ועגמת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נפש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תהליך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בסופו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נחותים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מאשר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יתחרטו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מעשיהם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במחשבה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לאחור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תחושת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ההחמצה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והטעות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רוע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מעשיהם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יחושו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ככלות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יקום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לתחיה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100" w:before="100" w:lineRule="auto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אפילו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שייכים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לחיי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באחד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מחסידי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סאטמר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חשוך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ילדים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הציעו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לפנות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מליובאוויטש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אולי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יוכל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לסייע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ולליובאוויטש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יקבלוני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?".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המשמש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/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הגבאי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מסטמאר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סנדר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דייטש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הסר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דאגה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מליבך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מצוי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גיסו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ואסדר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יחידות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'".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קצר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הודיע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תוכל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להתקבל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בליובאוויטש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פלוני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שתים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עשרה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בלילה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26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הגיב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בשעה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שתים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עשרה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בלילה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אפגוש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רצוני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שידעו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ביקורי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בליובאוויטש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!"...</w:t>
      </w:r>
    </w:p>
    <w:p w:rsidR="00000000" w:rsidDel="00000000" w:rsidP="00000000" w:rsidRDefault="00000000" w:rsidRPr="00000000" w14:paraId="00000027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רס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אשתדל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ואכן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נקבע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לארבע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לפנות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בוקר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יחידות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בלוויית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רעייתו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נטל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הפתקה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ומשקראה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הגיב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הנך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כותב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תוצאות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הבדיקות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אינך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כותב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כאן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הסיבות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שגרמו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לתוצאות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הוסיף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-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כדאי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שתבקרו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אצל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רופא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פלוני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נקב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בשם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הרופא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יתברך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יעזרכם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ויהיו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לכם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בנים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וכו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'" (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בירך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במאור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פנים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ובשפע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).</w:t>
      </w:r>
    </w:p>
    <w:p w:rsidR="00000000" w:rsidDel="00000000" w:rsidP="00000000" w:rsidRDefault="00000000" w:rsidRPr="00000000" w14:paraId="00000029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הזוג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הודו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ויצאו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החדר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לפתע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יצא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בעקבות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הלה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הבחין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בכך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ומיד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ופנה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כמדומני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שבימים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יארצייט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בסאטמר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והאדמו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נוהג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לשאת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ולערוך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תאמרו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באותו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מעמד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?".</w:t>
      </w:r>
    </w:p>
    <w:p w:rsidR="00000000" w:rsidDel="00000000" w:rsidP="00000000" w:rsidRDefault="00000000" w:rsidRPr="00000000" w14:paraId="0000002A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אכן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השיב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האדמו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ערך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מסכת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חגיגה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והתעכב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הביטוי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המופיע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בגמרא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האור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שולטת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...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שמלאין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כרימון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השאר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תמה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לומר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כרימון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'?".</w:t>
      </w:r>
    </w:p>
    <w:p w:rsidR="00000000" w:rsidDel="00000000" w:rsidP="00000000" w:rsidRDefault="00000000" w:rsidRPr="00000000" w14:paraId="0000002B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החווירו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רעד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בפניו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סאטמר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הצטער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בכלל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שהשמיע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והוא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הגיב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אף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אני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למדתי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הגמרא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בחגיגה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ולי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להיפך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מלאין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כרימון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שייך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לכנותם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'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פושעי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'?!"...</w:t>
      </w:r>
    </w:p>
    <w:p w:rsidR="00000000" w:rsidDel="00000000" w:rsidP="00000000" w:rsidRDefault="00000000" w:rsidRPr="00000000" w14:paraId="0000002C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404040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מיותר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לציין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שאותו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חסיד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סטמאר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זכה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לזרעא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חייא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וקיימא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shd w:fill="ffffff" w:val="clear"/>
        <w:bidi w:val="1"/>
        <w:spacing w:after="100" w:before="100" w:lineRule="auto"/>
        <w:jc w:val="both"/>
        <w:rPr>
          <w:rFonts w:ascii="Alef" w:cs="Alef" w:eastAsia="Alef" w:hAnsi="Alef"/>
          <w:color w:val="202122"/>
          <w:highlight w:val="white"/>
        </w:rPr>
      </w:pP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color w:val="404040"/>
          <w:highlight w:val="white"/>
          <w:rtl w:val="1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