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spacing w:after="100" w:before="100" w:lineRule="auto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בצוותא</w:t>
      </w:r>
    </w:p>
    <w:p w:rsidR="00000000" w:rsidDel="00000000" w:rsidP="00000000" w:rsidRDefault="00000000" w:rsidRPr="00000000" w14:paraId="00000003">
      <w:pPr>
        <w:pStyle w:val="Heading3"/>
        <w:bidi w:val="1"/>
        <w:spacing w:after="100" w:before="100" w:lineRule="auto"/>
        <w:jc w:val="center"/>
        <w:rPr>
          <w:rFonts w:ascii="Alef" w:cs="Alef" w:eastAsia="Alef" w:hAnsi="Alef"/>
          <w:sz w:val="30"/>
          <w:szCs w:val="30"/>
        </w:rPr>
      </w:pPr>
      <w:bookmarkStart w:colFirst="0" w:colLast="0" w:name="_rr05ly3na62m" w:id="0"/>
      <w:bookmarkEnd w:id="0"/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נקראת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ומהו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המכנה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המשותף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עניני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</w:t>
      </w:r>
    </w:p>
    <w:p w:rsidR="00000000" w:rsidDel="00000000" w:rsidP="00000000" w:rsidRDefault="00000000" w:rsidRPr="00000000" w14:paraId="00000004">
      <w:pPr>
        <w:bidi w:val="1"/>
        <w:spacing w:after="100" w:before="10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מגפת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הקורונה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תקופת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הבידוד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והבדידות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פיתח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משרד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הבריאות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נהלים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לפסיכיאטר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לפיהן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לדאוג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ליצור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הרופא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מתחילים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לשולחנות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פרחים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עצים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נא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ליצור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דחוף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רופא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מתחילים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לכם</w:t>
      </w:r>
      <w:r w:rsidDel="00000000" w:rsidR="00000000" w:rsidRPr="00000000">
        <w:rPr>
          <w:rFonts w:ascii="Alef" w:cs="Alef" w:eastAsia="Alef" w:hAnsi="Alef"/>
          <w:rtl w:val="1"/>
        </w:rPr>
        <w:t xml:space="preserve">…"</w:t>
      </w:r>
    </w:p>
    <w:p w:rsidR="00000000" w:rsidDel="00000000" w:rsidP="00000000" w:rsidRDefault="00000000" w:rsidRPr="00000000" w14:paraId="00000005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פותחת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</w:t>
      </w:r>
      <w:r w:rsidDel="00000000" w:rsidR="00000000" w:rsidRPr="00000000">
        <w:rPr>
          <w:rFonts w:ascii="Alef" w:cs="Alef" w:eastAsia="Alef" w:hAnsi="Alef"/>
          <w:rtl w:val="1"/>
        </w:rPr>
        <w:t xml:space="preserve">־</w:t>
      </w:r>
      <w:r w:rsidDel="00000000" w:rsidR="00000000" w:rsidRPr="00000000">
        <w:rPr>
          <w:rFonts w:ascii="Alef" w:cs="Alef" w:eastAsia="Alef" w:hAnsi="Alef"/>
          <w:rtl w:val="1"/>
        </w:rPr>
        <w:t xml:space="preserve">מפורסם</w:t>
      </w:r>
      <w:r w:rsidDel="00000000" w:rsidR="00000000" w:rsidRPr="00000000">
        <w:rPr>
          <w:rFonts w:ascii="Alef" w:cs="Alef" w:eastAsia="Alef" w:hAnsi="Alef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rtl w:val="1"/>
        </w:rPr>
        <w:t xml:space="preserve">ואתה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הבעש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ששמו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תוכנו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בענינים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תורניים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לדוגמא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למצוא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לתוכנה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אקראי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מהשורה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ענין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פנימי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ונצחי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המלמד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העמוק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ענין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לעין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כביכול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rtl w:val="1"/>
        </w:rPr>
        <w:t xml:space="preserve">היינו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למצוא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לפרשה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מאשר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– '</w:t>
      </w:r>
      <w:r w:rsidDel="00000000" w:rsidR="00000000" w:rsidRPr="00000000">
        <w:rPr>
          <w:rFonts w:ascii="Alef" w:cs="Alef" w:eastAsia="Alef" w:hAnsi="Alef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rtl w:val="1"/>
        </w:rPr>
        <w:t xml:space="preserve">'. </w:t>
      </w:r>
      <w:r w:rsidDel="00000000" w:rsidR="00000000" w:rsidRPr="00000000">
        <w:rPr>
          <w:rFonts w:ascii="Alef" w:cs="Alef" w:eastAsia="Alef" w:hAnsi="Alef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זווית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שנביט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בפרשה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נראה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rtl w:val="1"/>
        </w:rPr>
        <w:t xml:space="preserve">'.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קטע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בפרשה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קופץ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ובולט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לעין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המילה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במובן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הפשוט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ציווי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מורה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לצוות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שיביאו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</w:p>
    <w:p w:rsidR="00000000" w:rsidDel="00000000" w:rsidP="00000000" w:rsidRDefault="00000000" w:rsidRPr="00000000" w14:paraId="00000008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שמן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הדלקת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המנורה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שאלת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השאלות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משתמש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במילה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rtl w:val="1"/>
        </w:rPr>
        <w:t xml:space="preserve">"?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הוראות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וציווים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בלשונות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שונים</w:t>
      </w:r>
      <w:r w:rsidDel="00000000" w:rsidR="00000000" w:rsidRPr="00000000">
        <w:rPr>
          <w:rFonts w:ascii="Alef" w:cs="Alef" w:eastAsia="Alef" w:hAnsi="Alef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", "</w:t>
      </w:r>
      <w:r w:rsidDel="00000000" w:rsidR="00000000" w:rsidRPr="00000000">
        <w:rPr>
          <w:rFonts w:ascii="Alef" w:cs="Alef" w:eastAsia="Alef" w:hAnsi="Alef"/>
          <w:rtl w:val="1"/>
        </w:rPr>
        <w:t xml:space="preserve">אמור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", "</w:t>
      </w:r>
      <w:r w:rsidDel="00000000" w:rsidR="00000000" w:rsidRPr="00000000">
        <w:rPr>
          <w:rFonts w:ascii="Alef" w:cs="Alef" w:eastAsia="Alef" w:hAnsi="Alef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דווקא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משתמש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מקובלת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רגילה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המילה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rtl w:val="1"/>
        </w:rPr>
        <w:t xml:space="preserve">"?!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מסתתר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השטח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A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תורת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מלמדת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במילה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נעוץ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סוד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הצוותא</w:t>
      </w:r>
      <w:r w:rsidDel="00000000" w:rsidR="00000000" w:rsidRPr="00000000">
        <w:rPr>
          <w:rFonts w:ascii="Alef" w:cs="Alef" w:eastAsia="Alef" w:hAnsi="Alef"/>
          <w:rtl w:val="1"/>
        </w:rPr>
        <w:t xml:space="preserve">' - </w:t>
      </w:r>
      <w:r w:rsidDel="00000000" w:rsidR="00000000" w:rsidRPr="00000000">
        <w:rPr>
          <w:rFonts w:ascii="Alef" w:cs="Alef" w:eastAsia="Alef" w:hAnsi="Alef"/>
          <w:rtl w:val="1"/>
        </w:rPr>
        <w:t xml:space="preserve">סוד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הביחד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0B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הכוונה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הפנימית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המסתתרת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שהרצון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יחבר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בינינו</w:t>
      </w:r>
      <w:r w:rsidDel="00000000" w:rsidR="00000000" w:rsidRPr="00000000">
        <w:rPr>
          <w:rFonts w:ascii="Alef" w:cs="Alef" w:eastAsia="Alef" w:hAnsi="Alef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בצוותא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עימו</w:t>
      </w:r>
      <w:r w:rsidDel="00000000" w:rsidR="00000000" w:rsidRPr="00000000">
        <w:rPr>
          <w:rFonts w:ascii="Alef" w:cs="Alef" w:eastAsia="Alef" w:hAnsi="Alef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ית</w:t>
      </w:r>
      <w:r w:rsidDel="00000000" w:rsidR="00000000" w:rsidRPr="00000000">
        <w:rPr>
          <w:rFonts w:ascii="Alef" w:cs="Alef" w:eastAsia="Alef" w:hAnsi="Alef"/>
          <w:rtl w:val="1"/>
        </w:rPr>
        <w:t xml:space="preserve">'. </w:t>
      </w:r>
      <w:r w:rsidDel="00000000" w:rsidR="00000000" w:rsidRPr="00000000">
        <w:rPr>
          <w:rFonts w:ascii="Alef" w:cs="Alef" w:eastAsia="Alef" w:hAnsi="Alef"/>
          <w:rtl w:val="1"/>
        </w:rPr>
        <w:t xml:space="preserve">המשמעות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הפנימית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המילה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תעשה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צוותא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תעשה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ביחד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תחבר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בינינו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כצוות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מאוחד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כשנסתכל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בעיניים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בוחנות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בקפידה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פסוקי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ועניני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לראות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תהליך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התחברות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פנימית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יתברך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0"/>
        </w:rPr>
        <w:t xml:space="preserve">.</w:t>
      </w:r>
      <w:r w:rsidDel="00000000" w:rsidR="00000000" w:rsidRPr="00000000">
        <w:rPr>
          <w:rFonts w:ascii="Alef" w:cs="Alef" w:eastAsia="Alef" w:hAnsi="Alef"/>
          <w:rtl w:val="0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המנורה</w:t>
      </w:r>
      <w:r w:rsidDel="00000000" w:rsidR="00000000" w:rsidRPr="00000000">
        <w:rPr>
          <w:rFonts w:ascii="Alef" w:cs="Alef" w:eastAsia="Alef" w:hAnsi="Alef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פותחת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כאמור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בציווי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לצורך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הדלקת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המנורה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אהרן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חז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מלמדים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כב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שאור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המנורה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להאיר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אינו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זקוק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נדליק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עבורו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במנורה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שהשכינה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ובלשון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חידושי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הריטב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rtl w:val="1"/>
        </w:rPr>
        <w:t xml:space="preserve">):"</w:t>
      </w:r>
      <w:r w:rsidDel="00000000" w:rsidR="00000000" w:rsidRPr="00000000">
        <w:rPr>
          <w:rFonts w:ascii="Alef" w:cs="Alef" w:eastAsia="Alef" w:hAnsi="Alef"/>
          <w:rtl w:val="1"/>
        </w:rPr>
        <w:t xml:space="preserve">נר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הלילה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הערביים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נס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בשעה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שהשכינה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."</w:t>
      </w:r>
    </w:p>
    <w:p w:rsidR="00000000" w:rsidDel="00000000" w:rsidP="00000000" w:rsidRDefault="00000000" w:rsidRPr="00000000" w14:paraId="0000000D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מהות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המנורה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להעיד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החיבור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השכינה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רוצה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ובוחר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להשרות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שכינתו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שרצונו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בצוותא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0"/>
        </w:rPr>
        <w:t xml:space="preserve">.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הכהונה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ממשיכה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בציווי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עשיית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הכוהנים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כשלומדים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לעומק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בצירוף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רז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בתלמוד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מגלים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ציווי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עשיית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הכהונה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ציווי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''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עשיית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כוהנים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''. </w:t>
      </w:r>
      <w:r w:rsidDel="00000000" w:rsidR="00000000" w:rsidRPr="00000000">
        <w:rPr>
          <w:rFonts w:ascii="Alef" w:cs="Alef" w:eastAsia="Alef" w:hAnsi="Alef"/>
          <w:rtl w:val="1"/>
        </w:rPr>
        <w:t xml:space="preserve">הדרך</w:t>
      </w:r>
      <w:r w:rsidDel="00000000" w:rsidR="00000000" w:rsidRPr="00000000">
        <w:rPr>
          <w:rFonts w:ascii="Alef" w:cs="Alef" w:eastAsia="Alef" w:hAnsi="Alef"/>
          <w:rtl w:val="1"/>
        </w:rPr>
        <w:t xml:space="preserve"> ''</w:t>
      </w:r>
      <w:r w:rsidDel="00000000" w:rsidR="00000000" w:rsidRPr="00000000">
        <w:rPr>
          <w:rFonts w:ascii="Alef" w:cs="Alef" w:eastAsia="Alef" w:hAnsi="Alef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rtl w:val="1"/>
        </w:rPr>
        <w:t xml:space="preserve">'' </w:t>
      </w:r>
      <w:r w:rsidDel="00000000" w:rsidR="00000000" w:rsidRPr="00000000">
        <w:rPr>
          <w:rFonts w:ascii="Alef" w:cs="Alef" w:eastAsia="Alef" w:hAnsi="Alef"/>
          <w:rtl w:val="1"/>
        </w:rPr>
        <w:t xml:space="preserve">כוהנים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באמצעות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הכהונה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בדרך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מצווה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ולקרב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הכוהנים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למלאכת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פעמים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rtl w:val="1"/>
        </w:rPr>
        <w:t xml:space="preserve">" - "</w:t>
      </w:r>
      <w:r w:rsidDel="00000000" w:rsidR="00000000" w:rsidRPr="00000000">
        <w:rPr>
          <w:rFonts w:ascii="Alef" w:cs="Alef" w:eastAsia="Alef" w:hAnsi="Alef"/>
          <w:rtl w:val="1"/>
        </w:rPr>
        <w:t xml:space="preserve">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לכהן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rtl w:val="1"/>
        </w:rPr>
        <w:t xml:space="preserve">" -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מיוחדים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משיחה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והקרבת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קורבנות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המילואים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התוכן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התקדשות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משרתי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- </w:t>
      </w:r>
      <w:r w:rsidDel="00000000" w:rsidR="00000000" w:rsidRPr="00000000">
        <w:rPr>
          <w:rFonts w:ascii="Alef" w:cs="Alef" w:eastAsia="Alef" w:hAnsi="Alef"/>
          <w:rtl w:val="1"/>
        </w:rPr>
        <w:t xml:space="preserve">הכוהנים</w:t>
      </w:r>
      <w:r w:rsidDel="00000000" w:rsidR="00000000" w:rsidRPr="00000000">
        <w:rPr>
          <w:rFonts w:ascii="Alef" w:cs="Alef" w:eastAsia="Alef" w:hAnsi="Alef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rtl w:val="1"/>
        </w:rPr>
        <w:t xml:space="preserve">למצב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כזה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שעבודתם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במשכן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כפקידים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בעבודה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כבעלי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מלאכה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שבבוקר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לעבודה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ובערב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חוזרים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הביתה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רצון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להפוך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אנשי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קודש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מקודשים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הופכים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מקודשים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עובדים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ומשרתים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מקודשים</w:t>
      </w:r>
      <w:r w:rsidDel="00000000" w:rsidR="00000000" w:rsidRPr="00000000">
        <w:rPr>
          <w:rFonts w:ascii="Alef" w:cs="Alef" w:eastAsia="Alef" w:hAnsi="Alef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rtl w:val="1"/>
        </w:rPr>
        <w:t xml:space="preserve">מפורשים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ומובדלים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יתברך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וזהו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הצוותא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הגדול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מעוניין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באנשים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שעובדים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חפץ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בצוותא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חדא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'.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התמיד</w:t>
      </w:r>
      <w:r w:rsidDel="00000000" w:rsidR="00000000" w:rsidRPr="00000000">
        <w:rPr>
          <w:rFonts w:ascii="Alef" w:cs="Alef" w:eastAsia="Alef" w:hAnsi="Alef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הציווי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הקרבת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התמיד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הטומן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יסוד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ומרכזי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סוד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הצוותא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הגדול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להתנהג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עסל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בסל</w:t>
      </w:r>
      <w:r w:rsidDel="00000000" w:rsidR="00000000" w:rsidRPr="00000000">
        <w:rPr>
          <w:rFonts w:ascii="Alef" w:cs="Alef" w:eastAsia="Alef" w:hAnsi="Alef"/>
          <w:rtl w:val="1"/>
        </w:rPr>
        <w:t xml:space="preserve">" [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בצל</w:t>
      </w:r>
      <w:r w:rsidDel="00000000" w:rsidR="00000000" w:rsidRPr="00000000">
        <w:rPr>
          <w:rFonts w:ascii="Alef" w:cs="Alef" w:eastAsia="Alef" w:hAnsi="Alef"/>
          <w:rtl w:val="1"/>
        </w:rPr>
        <w:t xml:space="preserve">].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רוצה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איתו</w:t>
      </w:r>
      <w:r w:rsidDel="00000000" w:rsidR="00000000" w:rsidRPr="00000000">
        <w:rPr>
          <w:rFonts w:ascii="Alef" w:cs="Alef" w:eastAsia="Alef" w:hAnsi="Alef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rtl w:val="1"/>
        </w:rPr>
        <w:t xml:space="preserve">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תעבוד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תתמסר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ותשקיע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ולמחרת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תקח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חופש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נתון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למצבי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רוח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לנוחות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ולרווחים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אישיים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אוהד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תומך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אוהב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כוהן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ממשכן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'. </w:t>
      </w:r>
      <w:r w:rsidDel="00000000" w:rsidR="00000000" w:rsidRPr="00000000">
        <w:rPr>
          <w:rFonts w:ascii="Alef" w:cs="Alef" w:eastAsia="Alef" w:hAnsi="Alef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כוהן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משרת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לתת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ולתמיד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נהיים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ביחד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צוותא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חדא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לנצח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הקטורת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מסתיימת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בציווי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עשיית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מזבח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הקטורת</w:t>
      </w:r>
      <w:r w:rsidDel="00000000" w:rsidR="00000000" w:rsidRPr="00000000">
        <w:rPr>
          <w:rFonts w:ascii="Alef" w:cs="Alef" w:eastAsia="Alef" w:hAnsi="Alef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rtl w:val="1"/>
        </w:rPr>
        <w:t xml:space="preserve">שנקרא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מזבח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הפנימי</w:t>
      </w:r>
      <w:r w:rsidDel="00000000" w:rsidR="00000000" w:rsidRPr="00000000">
        <w:rPr>
          <w:rFonts w:ascii="Alef" w:cs="Alef" w:eastAsia="Alef" w:hAnsi="Alef"/>
          <w:rtl w:val="1"/>
        </w:rPr>
        <w:t xml:space="preserve">'. </w:t>
      </w:r>
      <w:r w:rsidDel="00000000" w:rsidR="00000000" w:rsidRPr="00000000">
        <w:rPr>
          <w:rFonts w:ascii="Alef" w:cs="Alef" w:eastAsia="Alef" w:hAnsi="Alef"/>
          <w:rtl w:val="1"/>
        </w:rPr>
        <w:t xml:space="preserve">בחסידות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מבואר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ששמו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מזבח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הפנימי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וזה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שמקומו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ההיכל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שהעבודה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שנעבדה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פנימית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החילוק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הקורבנות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הקטרת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הקטורת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התמקדות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במשמעות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הפנימית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וההבדל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המילים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קרבן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קירוב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קטרת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משקל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הארמית</w:t>
      </w:r>
      <w:r w:rsidDel="00000000" w:rsidR="00000000" w:rsidRPr="00000000">
        <w:rPr>
          <w:rFonts w:ascii="Alef" w:cs="Alef" w:eastAsia="Alef" w:hAnsi="Alef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rtl w:val="1"/>
        </w:rPr>
        <w:t xml:space="preserve">קטירא</w:t>
      </w:r>
      <w:r w:rsidDel="00000000" w:rsidR="00000000" w:rsidRPr="00000000">
        <w:rPr>
          <w:rFonts w:ascii="Alef" w:cs="Alef" w:eastAsia="Alef" w:hAnsi="Alef"/>
          <w:rtl w:val="1"/>
        </w:rPr>
        <w:t xml:space="preserve">') </w:t>
      </w:r>
      <w:r w:rsidDel="00000000" w:rsidR="00000000" w:rsidRPr="00000000">
        <w:rPr>
          <w:rFonts w:ascii="Alef" w:cs="Alef" w:eastAsia="Alef" w:hAnsi="Alef"/>
          <w:rtl w:val="1"/>
        </w:rPr>
        <w:t xml:space="preserve">משמעותה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קורבן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קירוב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rtl w:val="1"/>
        </w:rPr>
        <w:t xml:space="preserve">קטורת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קשר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לה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קשור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מחובר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ומאוחד</w:t>
      </w:r>
      <w:r w:rsidDel="00000000" w:rsidR="00000000" w:rsidRPr="00000000">
        <w:rPr>
          <w:rFonts w:ascii="Alef" w:cs="Alef" w:eastAsia="Alef" w:hAnsi="Alef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rtl w:val="1"/>
        </w:rPr>
        <w:t xml:space="preserve">בצוותא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חדא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rtl w:val="1"/>
        </w:rPr>
        <w:t xml:space="preserve">וכדברי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רשב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פטירתו</w:t>
      </w:r>
      <w:r w:rsidDel="00000000" w:rsidR="00000000" w:rsidRPr="00000000">
        <w:rPr>
          <w:rFonts w:ascii="Alef" w:cs="Alef" w:eastAsia="Alef" w:hAnsi="Alef"/>
          <w:rtl w:val="1"/>
        </w:rPr>
        <w:t xml:space="preserve">: ''</w:t>
      </w:r>
      <w:r w:rsidDel="00000000" w:rsidR="00000000" w:rsidRPr="00000000">
        <w:rPr>
          <w:rFonts w:ascii="Alef" w:cs="Alef" w:eastAsia="Alef" w:hAnsi="Alef"/>
          <w:rtl w:val="1"/>
        </w:rPr>
        <w:t xml:space="preserve">בחד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קטירא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אתקטרנא</w:t>
      </w:r>
      <w:r w:rsidDel="00000000" w:rsidR="00000000" w:rsidRPr="00000000">
        <w:rPr>
          <w:rFonts w:ascii="Alef" w:cs="Alef" w:eastAsia="Alef" w:hAnsi="Alef"/>
          <w:rtl w:val="1"/>
        </w:rPr>
        <w:t xml:space="preserve">''. </w:t>
      </w:r>
      <w:r w:rsidDel="00000000" w:rsidR="00000000" w:rsidRPr="00000000">
        <w:rPr>
          <w:rFonts w:ascii="Alef" w:cs="Alef" w:eastAsia="Alef" w:hAnsi="Alef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</w:t>
      </w:r>
      <w:r w:rsidDel="00000000" w:rsidR="00000000" w:rsidRPr="00000000">
        <w:rPr>
          <w:rFonts w:ascii="Alef" w:cs="Alef" w:eastAsia="Alef" w:hAnsi="Alef"/>
          <w:rtl w:val="1"/>
        </w:rPr>
        <w:t xml:space="preserve">'.</w:t>
      </w:r>
      <w:r w:rsidDel="00000000" w:rsidR="00000000" w:rsidRPr="00000000">
        <w:rPr>
          <w:rFonts w:ascii="Alef" w:cs="Alef" w:eastAsia="Alef" w:hAnsi="Alef"/>
          <w:rtl w:val="1"/>
        </w:rPr>
        <w:t xml:space="preserve">מאוחד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לחלוטין</w:t>
      </w:r>
      <w:r w:rsidDel="00000000" w:rsidR="00000000" w:rsidRPr="00000000">
        <w:rPr>
          <w:rFonts w:ascii="Alef" w:cs="Alef" w:eastAsia="Alef" w:hAnsi="Alef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rtl w:val="1"/>
        </w:rPr>
        <w:t xml:space="preserve">צוותא</w:t>
      </w:r>
      <w:r w:rsidDel="00000000" w:rsidR="00000000" w:rsidRPr="00000000">
        <w:rPr>
          <w:rFonts w:ascii="Alef" w:cs="Alef" w:eastAsia="Alef" w:hAnsi="Alef"/>
          <w:rtl w:val="0"/>
        </w:rPr>
        <w:t xml:space="preserve">!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ובנוגע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אלינו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ישנן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דקות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בהן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קודש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כהן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במשכן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כפועל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חלילה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עליו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משכנו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האמיתי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וחפצו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האמיתי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ההחלטה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לעזוב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עניני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החולין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ולהיכנס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לשיעור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לענין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קדושה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הפנימי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הכניסה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לענייני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הקודש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בסיום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זרעים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מלמד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בלבד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ויבדיל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החולין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קודשים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הכוהנים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והלווים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שעה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תפילה</w:t>
      </w:r>
      <w:r w:rsidDel="00000000" w:rsidR="00000000" w:rsidRPr="00000000">
        <w:rPr>
          <w:rFonts w:ascii="Alef" w:cs="Alef" w:eastAsia="Alef" w:hAnsi="Alef"/>
          <w:rtl w:val="1"/>
        </w:rPr>
        <w:t xml:space="preserve"> ,</w:t>
      </w:r>
      <w:r w:rsidDel="00000000" w:rsidR="00000000" w:rsidRPr="00000000">
        <w:rPr>
          <w:rFonts w:ascii="Alef" w:cs="Alef" w:eastAsia="Alef" w:hAnsi="Alef"/>
          <w:rtl w:val="1"/>
        </w:rPr>
        <w:t xml:space="preserve">שעה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התעסקות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בעניני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ככניסה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למשכן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ולעבודה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גונבים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רגעים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קדושה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נגיע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המוחלטת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והפנימית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מלבדו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חלקיק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בחיי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תצוה</w:t>
      </w:r>
      <w:r w:rsidDel="00000000" w:rsidR="00000000" w:rsidRPr="00000000">
        <w:rPr>
          <w:rFonts w:ascii="Alef" w:cs="Alef" w:eastAsia="Alef" w:hAnsi="Alef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הצוותא</w:t>
      </w:r>
      <w:r w:rsidDel="00000000" w:rsidR="00000000" w:rsidRPr="00000000">
        <w:rPr>
          <w:rFonts w:ascii="Alef" w:cs="Alef" w:eastAsia="Alef" w:hAnsi="Alef"/>
          <w:rtl w:val="1"/>
        </w:rPr>
        <w:t xml:space="preserve">! 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ברגעי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ההכנה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ללמוד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ולקח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אמיתי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ומהשם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ולהטהר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בדוגמת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צריכים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ולהתחבר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הבורא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והתפילה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ולהביא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rtl w:val="1"/>
        </w:rPr>
        <w:t xml:space="preserve">רגעי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rtl w:val="1"/>
        </w:rPr>
        <w:t xml:space="preserve">לרגעים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אמיתיים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שחרור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מהוויות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ועניני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הגשם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להקריב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קרבן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התמיד</w:t>
      </w:r>
      <w:r w:rsidDel="00000000" w:rsidR="00000000" w:rsidRPr="00000000">
        <w:rPr>
          <w:rFonts w:ascii="Alef" w:cs="Alef" w:eastAsia="Alef" w:hAnsi="Alef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rtl w:val="1"/>
        </w:rPr>
        <w:t xml:space="preserve">ולהקטיר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הקטורת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בנפשינו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פנימה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ידי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התעסקות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בלימוד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ובעבודת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התפילה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הסביבה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להאמין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שלימה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בבשורת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ולחוש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ולהרגיש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האחרון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והדור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נסיים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המבליט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הגשם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ולהבליט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הרוח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להתרומם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לצורכי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השעה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ולראות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מספרים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החסיד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‘ </w:t>
      </w:r>
      <w:r w:rsidDel="00000000" w:rsidR="00000000" w:rsidRPr="00000000">
        <w:rPr>
          <w:rFonts w:ascii="Alef" w:cs="Alef" w:eastAsia="Alef" w:hAnsi="Alef"/>
          <w:rtl w:val="1"/>
        </w:rPr>
        <w:t xml:space="preserve">שלמה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מיידנצ</w:t>
      </w:r>
      <w:r w:rsidDel="00000000" w:rsidR="00000000" w:rsidRPr="00000000">
        <w:rPr>
          <w:rFonts w:ascii="Alef" w:cs="Alef" w:eastAsia="Alef" w:hAnsi="Alef"/>
          <w:rtl w:val="1"/>
        </w:rPr>
        <w:t xml:space="preserve">‘</w:t>
      </w:r>
      <w:r w:rsidDel="00000000" w:rsidR="00000000" w:rsidRPr="00000000">
        <w:rPr>
          <w:rFonts w:ascii="Alef" w:cs="Alef" w:eastAsia="Alef" w:hAnsi="Alef"/>
          <w:rtl w:val="1"/>
        </w:rPr>
        <w:t xml:space="preserve">יק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</w:t>
      </w:r>
      <w:r w:rsidDel="00000000" w:rsidR="00000000" w:rsidRPr="00000000">
        <w:rPr>
          <w:rFonts w:ascii="Alef" w:cs="Alef" w:eastAsia="Alef" w:hAnsi="Alef"/>
          <w:rtl w:val="1"/>
        </w:rPr>
        <w:t xml:space="preserve">‘‘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חב</w:t>
      </w:r>
      <w:r w:rsidDel="00000000" w:rsidR="00000000" w:rsidRPr="00000000">
        <w:rPr>
          <w:rFonts w:ascii="Alef" w:cs="Alef" w:eastAsia="Alef" w:hAnsi="Alef"/>
          <w:rtl w:val="1"/>
        </w:rPr>
        <w:t xml:space="preserve">‘‘</w:t>
      </w:r>
      <w:r w:rsidDel="00000000" w:rsidR="00000000" w:rsidRPr="00000000">
        <w:rPr>
          <w:rFonts w:ascii="Alef" w:cs="Alef" w:eastAsia="Alef" w:hAnsi="Alef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ולפרנסתו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נהג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קטר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ברכבת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בעבודתו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ברכבת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הוצע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קידום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לעבודה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במשרד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ובתנאים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נוחים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‘ </w:t>
      </w:r>
      <w:r w:rsidDel="00000000" w:rsidR="00000000" w:rsidRPr="00000000">
        <w:rPr>
          <w:rFonts w:ascii="Alef" w:cs="Alef" w:eastAsia="Alef" w:hAnsi="Alef"/>
          <w:rtl w:val="1"/>
        </w:rPr>
        <w:t xml:space="preserve">שלמה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סירב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הקידום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טען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לעזוב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פיזית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הרכבת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ולהפסיד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ההזדמנות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לזכות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הנוסעים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ברכבת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בהנחת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תפילין</w:t>
      </w:r>
      <w:r w:rsidDel="00000000" w:rsidR="00000000" w:rsidRPr="00000000">
        <w:rPr>
          <w:rFonts w:ascii="Alef" w:cs="Alef" w:eastAsia="Alef" w:hAnsi="Alef"/>
          <w:rtl w:val="1"/>
        </w:rPr>
        <w:t xml:space="preserve">… </w:t>
      </w:r>
      <w:r w:rsidDel="00000000" w:rsidR="00000000" w:rsidRPr="00000000">
        <w:rPr>
          <w:rFonts w:ascii="Alef" w:cs="Alef" w:eastAsia="Alef" w:hAnsi="Alef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שליחות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פרנסה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18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center"/>
        <w:rPr>
          <w:rFonts w:ascii="Alef" w:cs="Alef" w:eastAsia="Alef" w:hAnsi="Alef"/>
        </w:rPr>
      </w:pPr>
      <w:hyperlink r:id="rId6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מבוסס</w:t>
        </w:r>
      </w:hyperlink>
      <w:hyperlink r:id="rId7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על</w:t>
        </w:r>
      </w:hyperlink>
      <w:hyperlink r:id="rId9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שיעור</w:t>
        </w:r>
      </w:hyperlink>
      <w:hyperlink r:id="rId11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משיח</w:t>
        </w:r>
      </w:hyperlink>
      <w:hyperlink r:id="rId13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בפרשה</w:t>
        </w:r>
      </w:hyperlink>
      <w:hyperlink r:id="rId15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מהמחזור</w:t>
        </w:r>
      </w:hyperlink>
      <w:hyperlink r:id="rId17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החמישי</w:t>
        </w:r>
      </w:hyperlink>
      <w:hyperlink r:id="rId19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, </w:t>
        </w:r>
      </w:hyperlink>
      <w:hyperlink r:id="rId20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לחץ</w:t>
        </w:r>
      </w:hyperlink>
      <w:hyperlink r:id="rId21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rFonts w:ascii="Alef" w:cs="Alef" w:eastAsia="Alef" w:hAnsi="Alef"/>
            <w:color w:val="1155cc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005" w:top="720" w:left="120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GibYZ2r9wYdchSvdixrViwSj8ko--5Hg/view?usp=sharing" TargetMode="External"/><Relationship Id="rId11" Type="http://schemas.openxmlformats.org/officeDocument/2006/relationships/hyperlink" Target="https://drive.google.com/file/d/1GibYZ2r9wYdchSvdixrViwSj8ko--5Hg/view?usp=sharing" TargetMode="External"/><Relationship Id="rId22" Type="http://schemas.openxmlformats.org/officeDocument/2006/relationships/hyperlink" Target="https://drive.google.com/file/d/1GibYZ2r9wYdchSvdixrViwSj8ko--5Hg/view?usp=sharing" TargetMode="External"/><Relationship Id="rId10" Type="http://schemas.openxmlformats.org/officeDocument/2006/relationships/hyperlink" Target="https://drive.google.com/file/d/1GibYZ2r9wYdchSvdixrViwSj8ko--5Hg/view?usp=sharing" TargetMode="External"/><Relationship Id="rId21" Type="http://schemas.openxmlformats.org/officeDocument/2006/relationships/hyperlink" Target="https://drive.google.com/file/d/1GibYZ2r9wYdchSvdixrViwSj8ko--5Hg/view?usp=sharing" TargetMode="External"/><Relationship Id="rId13" Type="http://schemas.openxmlformats.org/officeDocument/2006/relationships/hyperlink" Target="https://drive.google.com/file/d/1GibYZ2r9wYdchSvdixrViwSj8ko--5Hg/view?usp=sharing" TargetMode="External"/><Relationship Id="rId12" Type="http://schemas.openxmlformats.org/officeDocument/2006/relationships/hyperlink" Target="https://drive.google.com/file/d/1GibYZ2r9wYdchSvdixrViwSj8ko--5Hg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GibYZ2r9wYdchSvdixrViwSj8ko--5Hg/view?usp=sharing" TargetMode="External"/><Relationship Id="rId15" Type="http://schemas.openxmlformats.org/officeDocument/2006/relationships/hyperlink" Target="https://drive.google.com/file/d/1GibYZ2r9wYdchSvdixrViwSj8ko--5Hg/view?usp=sharing" TargetMode="External"/><Relationship Id="rId14" Type="http://schemas.openxmlformats.org/officeDocument/2006/relationships/hyperlink" Target="https://drive.google.com/file/d/1GibYZ2r9wYdchSvdixrViwSj8ko--5Hg/view?usp=sharing" TargetMode="External"/><Relationship Id="rId17" Type="http://schemas.openxmlformats.org/officeDocument/2006/relationships/hyperlink" Target="https://drive.google.com/file/d/1GibYZ2r9wYdchSvdixrViwSj8ko--5Hg/view?usp=sharing" TargetMode="External"/><Relationship Id="rId16" Type="http://schemas.openxmlformats.org/officeDocument/2006/relationships/hyperlink" Target="https://drive.google.com/file/d/1GibYZ2r9wYdchSvdixrViwSj8ko--5Hg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GibYZ2r9wYdchSvdixrViwSj8ko--5Hg/view?usp=sharing" TargetMode="External"/><Relationship Id="rId6" Type="http://schemas.openxmlformats.org/officeDocument/2006/relationships/hyperlink" Target="https://drive.google.com/file/d/1GibYZ2r9wYdchSvdixrViwSj8ko--5Hg/view?usp=sharing" TargetMode="External"/><Relationship Id="rId18" Type="http://schemas.openxmlformats.org/officeDocument/2006/relationships/hyperlink" Target="https://drive.google.com/file/d/1GibYZ2r9wYdchSvdixrViwSj8ko--5Hg/view?usp=sharing" TargetMode="External"/><Relationship Id="rId7" Type="http://schemas.openxmlformats.org/officeDocument/2006/relationships/hyperlink" Target="https://drive.google.com/file/d/1GibYZ2r9wYdchSvdixrViwSj8ko--5Hg/view?usp=sharing" TargetMode="External"/><Relationship Id="rId8" Type="http://schemas.openxmlformats.org/officeDocument/2006/relationships/hyperlink" Target="https://drive.google.com/file/d/1GibYZ2r9wYdchSvdixrViwSj8ko--5Hg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