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02">
      <w:pPr>
        <w:bidi w:val="1"/>
        <w:jc w:val="center"/>
        <w:rPr>
          <w:rFonts w:ascii="Alef" w:cs="Alef" w:eastAsia="Alef" w:hAnsi="Alef"/>
          <w:b w:val="1"/>
          <w:sz w:val="30"/>
          <w:szCs w:val="30"/>
        </w:rPr>
      </w:pPr>
      <w:r w:rsidDel="00000000" w:rsidR="00000000" w:rsidRPr="00000000">
        <w:rPr>
          <w:rFonts w:ascii="Alef" w:cs="Alef" w:eastAsia="Alef" w:hAnsi="Alef"/>
          <w:b w:val="1"/>
          <w:sz w:val="30"/>
          <w:szCs w:val="30"/>
          <w:rtl w:val="1"/>
        </w:rPr>
        <w:t xml:space="preserve">הגיון</w:t>
      </w:r>
      <w:r w:rsidDel="00000000" w:rsidR="00000000" w:rsidRPr="00000000">
        <w:rPr>
          <w:rFonts w:ascii="Alef" w:cs="Alef" w:eastAsia="Alef" w:hAnsi="Alef"/>
          <w:b w:val="1"/>
          <w:sz w:val="30"/>
          <w:szCs w:val="30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30"/>
          <w:szCs w:val="30"/>
          <w:rtl w:val="1"/>
        </w:rPr>
        <w:t xml:space="preserve">יהודי</w:t>
      </w:r>
    </w:p>
    <w:p w:rsidR="00000000" w:rsidDel="00000000" w:rsidP="00000000" w:rsidRDefault="00000000" w:rsidRPr="00000000" w14:paraId="00000003">
      <w:pPr>
        <w:bidi w:val="1"/>
        <w:jc w:val="center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מבוסס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שיחת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משפטים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תשנ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</w:p>
    <w:p w:rsidR="00000000" w:rsidDel="00000000" w:rsidP="00000000" w:rsidRDefault="00000000" w:rsidRPr="00000000" w14:paraId="00000004">
      <w:pPr>
        <w:bidi w:val="1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bidi w:val="1"/>
        <w:jc w:val="center"/>
        <w:rPr>
          <w:rFonts w:ascii="Alef" w:cs="Alef" w:eastAsia="Alef" w:hAnsi="Alef"/>
        </w:rPr>
      </w:pPr>
      <w:bookmarkStart w:colFirst="0" w:colLast="0" w:name="_x3dkhgzb1ju9" w:id="0"/>
      <w:bookmarkEnd w:id="0"/>
      <w:r w:rsidDel="00000000" w:rsidR="00000000" w:rsidRPr="00000000">
        <w:rPr>
          <w:rFonts w:ascii="Alef" w:cs="Alef" w:eastAsia="Alef" w:hAnsi="Alef"/>
          <w:rtl w:val="1"/>
        </w:rPr>
        <w:t xml:space="preserve">מדוע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נדרשים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לציית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להוראות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הרבנים</w:t>
      </w:r>
      <w:r w:rsidDel="00000000" w:rsidR="00000000" w:rsidRPr="00000000">
        <w:rPr>
          <w:rFonts w:ascii="Alef" w:cs="Alef" w:eastAsia="Alef" w:hAnsi="Alef"/>
          <w:rtl w:val="1"/>
        </w:rPr>
        <w:t xml:space="preserve">? </w:t>
        <w:br w:type="textWrapping"/>
      </w:r>
      <w:r w:rsidDel="00000000" w:rsidR="00000000" w:rsidRPr="00000000">
        <w:rPr>
          <w:rFonts w:ascii="Alef" w:cs="Alef" w:eastAsia="Alef" w:hAnsi="Alef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משפיע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ההתנהגות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וההגיון</w:t>
      </w:r>
      <w:r w:rsidDel="00000000" w:rsidR="00000000" w:rsidRPr="00000000">
        <w:rPr>
          <w:rFonts w:ascii="Alef" w:cs="Alef" w:eastAsia="Alef" w:hAnsi="Alef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rtl w:val="1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ind w:left="720" w:firstLine="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מעשה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בגוי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שהפציר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ביהודי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וביקש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שילמד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היהודי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מאמין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שאדם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גוי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אסכים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ללמד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אותך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תענה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יוצאים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מארובה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מלוכלך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והשני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נקי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משניהם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ילך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להתרחץ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המלוכלך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יתרחץ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והנקי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משיב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הגוי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ind w:left="720" w:firstLine="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בדיוק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להיפך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היהודי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ומסביר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הנקי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מסתכל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המלוכלך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חושב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שגם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מלוכלך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והולך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להתרחץ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המלוכלך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לעומת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מסתכל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הנקי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חושב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שגם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נקי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הולך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להתרחץ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ind w:left="720" w:firstLine="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חשבתי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מסכים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הגוי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אותי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ind w:left="720" w:firstLine="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שואל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היהודי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הפעם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עונה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הגוי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בביטחון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הנקי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מתרחץ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והמלוכלך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ind w:left="720" w:firstLine="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טעית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היהודי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הנקי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מסתכל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במראה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רואה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נקי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הולך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להתרחץ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המלוכלך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מסתכל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במראה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רואה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מלוכלך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והולך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להתרחץ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שולמדים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מסביר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היהודי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האפשרויות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ind w:left="720" w:firstLine="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נאנח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הגוי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ננסה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אותי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אחרונה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היהודי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ומציג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שוב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ind w:left="720" w:firstLine="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מחייך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הגוי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מראה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המלוכלך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יתרחץ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מראה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הנקי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יתרחץ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ind w:left="720" w:firstLine="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היהודי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אמרתי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שעם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ראש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גוי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תצליח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גמרא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תסביר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ששני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ייצאו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מארובה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והאחד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ייצא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מלוכלך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והשני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נקי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0F">
      <w:pPr>
        <w:bidi w:val="1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100" w:before="100" w:lineRule="auto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בפרשת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השבוע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משפטים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לומדים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המאורעות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שהתרחשו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מתן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רבינו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סיני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ללמוד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ולקבל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רוב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המפורטות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בפרשתנו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המצוות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שמדברות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בדינים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לחברו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ובבסיסם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הינם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מצוות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המובנות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מצווה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ישראל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יקיימו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הבנתם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ושכלם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ציווי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הדבר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לידי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ביטוי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בהלכה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המפורסמת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הנלמדת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מהפסוק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בפרשתינו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המשפטים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תשים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לפניהם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לפניהם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עובדי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כוכבים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ואפילו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ידעת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בדין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שהם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דנין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כדיני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202122"/>
          <w:sz w:val="24"/>
          <w:szCs w:val="24"/>
          <w:highlight w:val="white"/>
          <w:rtl w:val="1"/>
        </w:rPr>
        <w:t xml:space="preserve">ישראל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תביאהו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בערכאות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שלהם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 (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שמות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כא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,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ורש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י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color w:val="202122"/>
          <w:sz w:val="24"/>
          <w:szCs w:val="24"/>
          <w:highlight w:val="whit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after="100" w:before="100" w:lineRule="auto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וכאן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נשאלת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השאלה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מדוע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איכפת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לקב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הדין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מובא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תורני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משפט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אזרחי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התוצאה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והפסק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זהים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שינוי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?!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בשביל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להלאות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ולשגע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???</w:t>
      </w:r>
    </w:p>
    <w:p w:rsidR="00000000" w:rsidDel="00000000" w:rsidP="00000000" w:rsidRDefault="00000000" w:rsidRPr="00000000" w14:paraId="00000012">
      <w:pPr>
        <w:bidi w:val="1"/>
        <w:spacing w:after="100" w:before="100" w:lineRule="auto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פוסקי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הדורות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ומפרשי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מהקרא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למיניהם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נעמדו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המדוכה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מזמן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חתימת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התלמוד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הסבר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משכנע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נעמוד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היסוד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העקרוני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והחסידי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העמוק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המסתתר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בדין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מתחת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השטח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100" w:before="100" w:lineRule="auto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מקובל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שמצוות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מתחלקות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לשלוש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סוגים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כלליים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מצוות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הגיוניות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הנתפסות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משפטים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מצוות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הקשורות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מאורעות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מרכזיים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בהיסטוריה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היהודית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וניתן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להסברים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אנושי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עדות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ומצוות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שכליות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בגדר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גזירה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נדרשים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ההגיון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חוקים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spacing w:after="100" w:before="100" w:lineRule="auto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האמור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שמצוות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שכליות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יתקבלו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בקלות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יהפכו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לטבע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אוניברסלי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הכולל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יהודים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ולהבדיל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גויים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כאחד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ואכן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בהרבה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מצוות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שכליות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מוצאים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שרבים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מבני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עמנו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שאינם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שומרים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ומצוות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עתה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מסכמים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לקיים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בנקל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מצוות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צדקה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לדוגמא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מצוות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שכזו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קשה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יהודי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שמתכחש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למצות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הצדקה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זורם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בדם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מהחלב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ינקנו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מלידה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וכידוע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שיהודי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בטבע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רחמן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וגומל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חסדים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spacing w:after="100" w:before="100" w:lineRule="auto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לעומת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מוצאים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שבמשך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מאות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שסביבנו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התקשה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מצוות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ודינים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הגיוניים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פחות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מאז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בריאת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מוצאים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מלחמות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טריטוריה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וחבלי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ארץ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החל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מקין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והבל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שרבו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חלוקת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הרכוש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וכלה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במלחמות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עולמיות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קרות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חמות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..)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עקובות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מדם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איבדו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מיליוני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אנשים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חייהם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כשהרבה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במלחמות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כבוד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בשתי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ההפצצות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הגרעיניות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הערים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היפניות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הירושימה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ונגאסקי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בסיום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מלחמת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השניה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מתו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מאות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אלפי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ומאז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החימוש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הגרעיני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והמלחמה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הקרה</w:t>
      </w:r>
    </w:p>
    <w:p w:rsidR="00000000" w:rsidDel="00000000" w:rsidP="00000000" w:rsidRDefault="00000000" w:rsidRPr="00000000" w14:paraId="00000016">
      <w:pPr>
        <w:bidi w:val="1"/>
        <w:spacing w:after="100" w:before="100" w:lineRule="auto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עשו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כולו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מדוע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לחיות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בשלום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לשני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לזולת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לנשום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7">
      <w:pPr>
        <w:bidi w:val="1"/>
        <w:spacing w:after="100" w:before="100" w:lineRule="auto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העיקרון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פשוט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בסיסי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לפיו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:"</w:t>
      </w:r>
      <w:r w:rsidDel="00000000" w:rsidR="00000000" w:rsidRPr="00000000">
        <w:rPr>
          <w:rFonts w:ascii="Alef" w:cs="Alef" w:eastAsia="Alef" w:hAnsi="Alef"/>
          <w:color w:val="4d5156"/>
          <w:sz w:val="24"/>
          <w:szCs w:val="24"/>
          <w:highlight w:val="white"/>
          <w:rtl w:val="1"/>
        </w:rPr>
        <w:t xml:space="preserve">גדול</w:t>
      </w:r>
      <w:r w:rsidDel="00000000" w:rsidR="00000000" w:rsidRPr="00000000">
        <w:rPr>
          <w:rFonts w:ascii="Alef" w:cs="Alef" w:eastAsia="Alef" w:hAnsi="Alef"/>
          <w:color w:val="4d5156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d5156"/>
          <w:sz w:val="24"/>
          <w:szCs w:val="24"/>
          <w:highlight w:val="white"/>
          <w:rtl w:val="1"/>
        </w:rPr>
        <w:t xml:space="preserve">השלום</w:t>
      </w:r>
      <w:r w:rsidDel="00000000" w:rsidR="00000000" w:rsidRPr="00000000">
        <w:rPr>
          <w:rFonts w:ascii="Alef" w:cs="Alef" w:eastAsia="Alef" w:hAnsi="Alef"/>
          <w:color w:val="4d5156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d5156"/>
          <w:sz w:val="24"/>
          <w:szCs w:val="24"/>
          <w:highlight w:val="white"/>
          <w:rtl w:val="1"/>
        </w:rPr>
        <w:t xml:space="preserve">שכל</w:t>
      </w:r>
      <w:r w:rsidDel="00000000" w:rsidR="00000000" w:rsidRPr="00000000">
        <w:rPr>
          <w:rFonts w:ascii="Alef" w:cs="Alef" w:eastAsia="Alef" w:hAnsi="Alef"/>
          <w:color w:val="4d5156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5f6368"/>
          <w:sz w:val="24"/>
          <w:szCs w:val="24"/>
          <w:highlight w:val="white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b w:val="1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5f6368"/>
          <w:sz w:val="24"/>
          <w:szCs w:val="24"/>
          <w:highlight w:val="white"/>
          <w:rtl w:val="1"/>
        </w:rPr>
        <w:t xml:space="preserve">ניתנה</w:t>
      </w:r>
      <w:r w:rsidDel="00000000" w:rsidR="00000000" w:rsidRPr="00000000">
        <w:rPr>
          <w:rFonts w:ascii="Alef" w:cs="Alef" w:eastAsia="Alef" w:hAnsi="Alef"/>
          <w:b w:val="1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5f6368"/>
          <w:sz w:val="24"/>
          <w:szCs w:val="24"/>
          <w:highlight w:val="white"/>
          <w:rtl w:val="1"/>
        </w:rPr>
        <w:t xml:space="preserve">לעשות</w:t>
      </w:r>
      <w:r w:rsidDel="00000000" w:rsidR="00000000" w:rsidRPr="00000000">
        <w:rPr>
          <w:rFonts w:ascii="Alef" w:cs="Alef" w:eastAsia="Alef" w:hAnsi="Alef"/>
          <w:b w:val="1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5f6368"/>
          <w:sz w:val="24"/>
          <w:szCs w:val="24"/>
          <w:highlight w:val="white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b w:val="1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5f6368"/>
          <w:sz w:val="24"/>
          <w:szCs w:val="24"/>
          <w:highlight w:val="white"/>
          <w:rtl w:val="1"/>
        </w:rPr>
        <w:t xml:space="preserve">בעולם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4d5156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d5156"/>
          <w:sz w:val="24"/>
          <w:szCs w:val="24"/>
          <w:highlight w:val="white"/>
          <w:rtl w:val="1"/>
        </w:rPr>
        <w:t xml:space="preserve">שנאמר</w:t>
      </w:r>
      <w:r w:rsidDel="00000000" w:rsidR="00000000" w:rsidRPr="00000000">
        <w:rPr>
          <w:rFonts w:ascii="Alef" w:cs="Alef" w:eastAsia="Alef" w:hAnsi="Alef"/>
          <w:color w:val="4d5156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d5156"/>
          <w:sz w:val="24"/>
          <w:szCs w:val="24"/>
          <w:highlight w:val="white"/>
          <w:rtl w:val="1"/>
        </w:rPr>
        <w:t xml:space="preserve">דרכיה</w:t>
      </w:r>
      <w:r w:rsidDel="00000000" w:rsidR="00000000" w:rsidRPr="00000000">
        <w:rPr>
          <w:rFonts w:ascii="Alef" w:cs="Alef" w:eastAsia="Alef" w:hAnsi="Alef"/>
          <w:color w:val="4d5156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d5156"/>
          <w:sz w:val="24"/>
          <w:szCs w:val="24"/>
          <w:highlight w:val="white"/>
          <w:rtl w:val="1"/>
        </w:rPr>
        <w:t xml:space="preserve">דרכי</w:t>
      </w:r>
      <w:r w:rsidDel="00000000" w:rsidR="00000000" w:rsidRPr="00000000">
        <w:rPr>
          <w:rFonts w:ascii="Alef" w:cs="Alef" w:eastAsia="Alef" w:hAnsi="Alef"/>
          <w:color w:val="4d5156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d5156"/>
          <w:sz w:val="24"/>
          <w:szCs w:val="24"/>
          <w:highlight w:val="white"/>
          <w:rtl w:val="1"/>
        </w:rPr>
        <w:t xml:space="preserve">נעם</w:t>
      </w:r>
      <w:r w:rsidDel="00000000" w:rsidR="00000000" w:rsidRPr="00000000">
        <w:rPr>
          <w:rFonts w:ascii="Alef" w:cs="Alef" w:eastAsia="Alef" w:hAnsi="Alef"/>
          <w:color w:val="4d5156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d5156"/>
          <w:sz w:val="24"/>
          <w:szCs w:val="24"/>
          <w:highlight w:val="white"/>
          <w:rtl w:val="1"/>
        </w:rPr>
        <w:t xml:space="preserve">וכל</w:t>
      </w:r>
      <w:r w:rsidDel="00000000" w:rsidR="00000000" w:rsidRPr="00000000">
        <w:rPr>
          <w:rFonts w:ascii="Alef" w:cs="Alef" w:eastAsia="Alef" w:hAnsi="Alef"/>
          <w:color w:val="4d5156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4d5156"/>
          <w:sz w:val="24"/>
          <w:szCs w:val="24"/>
          <w:highlight w:val="white"/>
          <w:rtl w:val="1"/>
        </w:rPr>
        <w:t xml:space="preserve">נתיבותיה</w:t>
      </w:r>
      <w:r w:rsidDel="00000000" w:rsidR="00000000" w:rsidRPr="00000000">
        <w:rPr>
          <w:rFonts w:ascii="Alef" w:cs="Alef" w:eastAsia="Alef" w:hAnsi="Alef"/>
          <w:color w:val="4d5156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color w:val="5f6368"/>
          <w:sz w:val="24"/>
          <w:szCs w:val="24"/>
          <w:highlight w:val="white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b w:val="1"/>
          <w:color w:val="5f6368"/>
          <w:sz w:val="24"/>
          <w:szCs w:val="24"/>
          <w:highlight w:val="white"/>
          <w:rtl w:val="1"/>
        </w:rPr>
        <w:t xml:space="preserve">"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(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רמב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סוף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הלכות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חנוכה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)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כנראה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פסח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ההנהגות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האנושית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במשך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אלפי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האימרה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הכה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נכונה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אותה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נוויל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צ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מברליין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כשניסה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להביא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למניעת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מלחמת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השניה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: "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במלחמה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אין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מנצחים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כולם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מפסידים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משום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מה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נרשם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ונחרת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במוחות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מנהיגי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במאות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האחרונות</w:t>
      </w:r>
      <w:r w:rsidDel="00000000" w:rsidR="00000000" w:rsidRPr="00000000">
        <w:rPr>
          <w:rFonts w:ascii="Alef" w:cs="Alef" w:eastAsia="Alef" w:hAnsi="Alef"/>
          <w:color w:val="5f6368"/>
          <w:sz w:val="24"/>
          <w:szCs w:val="24"/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spacing w:after="100" w:before="100" w:lineRule="auto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שכאן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טמון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יסוד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גדול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ביותר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הנוגע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למוסר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וצדק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ויושר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אנושי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בסיס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שניתן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ולסמוך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כוחו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שכלו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המוגבל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להוות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בסיס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לשום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אמיתי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ולשום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צדק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ומוסר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מונהג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נפשו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הבהמית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ויצרו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המושגים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לגבי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אמת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ומוסר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חלקיים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ולוקים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בעיוות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חמור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השוחד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אהבת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שגם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מחשיב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אמיתיים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אמות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המידה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ההיגיון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עשויים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לכוון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האמת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ואדרבה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לסטות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חמור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after="100" w:before="100" w:lineRule="auto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הבסיס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היחידי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לטוב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לחסד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לצדק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ולמוסר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צו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אלוקי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מוחלט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המחייב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ביטול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אמונה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וקבלת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עול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A">
      <w:pPr>
        <w:bidi w:val="1"/>
        <w:spacing w:after="100" w:before="100" w:lineRule="auto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החיוב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לשמוע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בקול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ההלכה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ולציית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לרבנים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אנושי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סמכא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זהו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חסרון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באינטליגנציה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ביושר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המוסרי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רובד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עמוק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בקשר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ובהשפעה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המיוחדת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B">
      <w:pPr>
        <w:bidi w:val="1"/>
        <w:spacing w:after="100" w:before="100" w:lineRule="auto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הסיבה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שאנו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נדרשים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להתייצב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רבני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הכרעת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חכמים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פסיקת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גרידא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קשורה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לקביעת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המציאות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בעולם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שולטת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ויוצרת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המציאות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האקטואלית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הקב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השתמש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כספר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התכנון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והמציאות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התורנית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שיוצרת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המציאות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העולמית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ההיגיון</w:t>
      </w:r>
    </w:p>
    <w:p w:rsidR="00000000" w:rsidDel="00000000" w:rsidP="00000000" w:rsidRDefault="00000000" w:rsidRPr="00000000" w14:paraId="0000001C">
      <w:pPr>
        <w:bidi w:val="1"/>
        <w:spacing w:after="100" w:before="100" w:lineRule="auto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שבמצוות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השכליות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מקורו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לולי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מצוות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ניתנות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מסיני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מצד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מבין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b w:val="1"/>
          <w:sz w:val="24"/>
          <w:szCs w:val="24"/>
          <w:rtl w:val="1"/>
        </w:rPr>
        <w:t xml:space="preserve">כלל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וכפי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שהדגמנו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לעיל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ההתנהגות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האנושית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הכלל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עולמית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מאות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היתה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בסתירה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מוחלטת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להבנה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הפשוטה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ילד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קטן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כיום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1D">
      <w:pPr>
        <w:bidi w:val="1"/>
        <w:spacing w:after="100" w:before="100" w:lineRule="auto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הקביעה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ההלכתית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הצו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האלוקי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שנקבע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בחכמת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שמצוות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מובנות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גורם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ששכל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האדם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ולהזדהות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איתם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למקור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ולגעת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בשורש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ההגיון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האנושי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להתייצב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עולם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רבני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קובע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ההלכה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יוצר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ההבנה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ומכריע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המציאות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1E">
      <w:pPr>
        <w:bidi w:val="1"/>
        <w:spacing w:after="100" w:before="100" w:lineRule="auto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התחיל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המהפך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מתי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התחיל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להתנהג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כפי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שהשכל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התורני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הגיוני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מכתיב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1F">
      <w:pPr>
        <w:bidi w:val="1"/>
        <w:spacing w:after="100" w:before="100" w:lineRule="auto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עולים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בקנה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ההשפעה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המסיבית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רבותינו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נשיאנו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כולו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after="100" w:before="100" w:lineRule="auto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בשנת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(1940)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הגיע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הקודם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מליובאוויטש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לניו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יורק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והחל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היקפי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הפצת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בארצות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הוקם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ארגון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בניו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יורק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הבנין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המרכזי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נחרט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הפסוק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וכתתו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חרבותם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לאיתים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וחניתותיהם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למזמרות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ישא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גוי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גוי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חרב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ילמדו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מלחמה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".</w:t>
      </w:r>
    </w:p>
    <w:p w:rsidR="00000000" w:rsidDel="00000000" w:rsidP="00000000" w:rsidRDefault="00000000" w:rsidRPr="00000000" w14:paraId="00000021">
      <w:pPr>
        <w:bidi w:val="1"/>
        <w:spacing w:after="100" w:before="100" w:lineRule="auto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בתורו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מלך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מכריז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שתפקיד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דורנו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להביא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בפועל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בשנת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תשנ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מתחיל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שמלך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המשיח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התגלה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וזהו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בפועל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רבנים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מתאחדים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לקביעת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פסק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הלכה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לפיו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הגיע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הגאולה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כתוצאה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מכך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22">
      <w:pPr>
        <w:bidi w:val="1"/>
        <w:spacing w:after="100" w:before="100" w:lineRule="auto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בכ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שבט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התשנ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(1992.1.31)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קודש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פרשת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משפטים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מתרחשת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פגישת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הפסגה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ההיסטורית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בוריס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ילצין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נשיא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רוסיה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וגורג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בוש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נשיא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ארצות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הברית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בבנין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במעמד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נשיאים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וראשי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מדינות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הצהירו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סיום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המלחמה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הקרה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צמצום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וביטול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כלי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הנשק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וקריאה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לשלום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ואחדות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מדינות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לטובת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האנושות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כולה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spacing w:after="100" w:before="100" w:lineRule="auto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משפיע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?!</w:t>
      </w:r>
    </w:p>
    <w:p w:rsidR="00000000" w:rsidDel="00000000" w:rsidP="00000000" w:rsidRDefault="00000000" w:rsidRPr="00000000" w14:paraId="00000024">
      <w:pPr>
        <w:bidi w:val="1"/>
        <w:spacing w:after="100" w:before="100" w:lineRule="auto"/>
        <w:ind w:left="720" w:firstLine="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ונסיים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בסיפור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המבליט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קובעת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בדיני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ממונות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</w:t>
        <w:br w:type="textWrapping"/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סיפור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סיפר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בהתועדות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אחרון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פסח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תשמ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הגיע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לביתו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הגאון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מרוגצו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מכתב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מהממשלה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הקומוניסטית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בדרישת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תשלום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סוגי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מיסים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אמר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לנכדו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לשלם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והסביר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מס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חוקי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לשלמו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אינו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נכון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ייתכן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להתחייב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וראה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פלא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–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ימים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הגיע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מכתב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ביטול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מהממשל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סוג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המס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5">
      <w:pPr>
        <w:bidi w:val="1"/>
        <w:spacing w:after="100" w:before="100" w:lineRule="auto"/>
        <w:ind w:left="720" w:firstLine="0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הרבי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הסביר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שהתורה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בעלת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הבית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העולם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פסק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התורה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פעל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ביטול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המס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ידי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הממשל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spacing w:after="100" w:before="100" w:lineRule="auto"/>
        <w:rPr>
          <w:rFonts w:ascii="Alef" w:cs="Alef" w:eastAsia="Alef" w:hAnsi="Alef"/>
          <w:sz w:val="24"/>
          <w:szCs w:val="24"/>
        </w:rPr>
      </w:pP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שבת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שלום</w:t>
      </w:r>
      <w:r w:rsidDel="00000000" w:rsidR="00000000" w:rsidRPr="00000000">
        <w:rPr>
          <w:rFonts w:ascii="Alef" w:cs="Alef" w:eastAsia="Alef" w:hAnsi="Alef"/>
          <w:sz w:val="24"/>
          <w:szCs w:val="24"/>
          <w:rtl w:val="1"/>
        </w:rPr>
        <w:t xml:space="preserve">!</w:t>
      </w:r>
    </w:p>
    <w:p w:rsidR="00000000" w:rsidDel="00000000" w:rsidP="00000000" w:rsidRDefault="00000000" w:rsidRPr="00000000" w14:paraId="00000027">
      <w:pPr>
        <w:bidi w:val="1"/>
        <w:jc w:val="center"/>
        <w:rPr>
          <w:rFonts w:ascii="Alef" w:cs="Alef" w:eastAsia="Alef" w:hAnsi="Alef"/>
          <w:sz w:val="24"/>
          <w:szCs w:val="24"/>
        </w:rPr>
      </w:pPr>
      <w:hyperlink r:id="rId6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1"/>
          </w:rPr>
          <w:t xml:space="preserve">מבוסס</w:t>
        </w:r>
      </w:hyperlink>
      <w:hyperlink r:id="rId7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8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1"/>
          </w:rPr>
          <w:t xml:space="preserve">על</w:t>
        </w:r>
      </w:hyperlink>
      <w:hyperlink r:id="rId9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0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1"/>
          </w:rPr>
          <w:t xml:space="preserve">שיעור</w:t>
        </w:r>
      </w:hyperlink>
      <w:hyperlink r:id="rId11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2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1"/>
          </w:rPr>
          <w:t xml:space="preserve">משיח</w:t>
        </w:r>
      </w:hyperlink>
      <w:hyperlink r:id="rId13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4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1"/>
          </w:rPr>
          <w:t xml:space="preserve">בפרשה</w:t>
        </w:r>
      </w:hyperlink>
      <w:hyperlink r:id="rId15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6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1"/>
          </w:rPr>
          <w:t xml:space="preserve">מהמחזור</w:t>
        </w:r>
      </w:hyperlink>
      <w:hyperlink r:id="rId17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18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1"/>
          </w:rPr>
          <w:t xml:space="preserve">הרביעי</w:t>
        </w:r>
      </w:hyperlink>
      <w:hyperlink r:id="rId19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1"/>
          </w:rPr>
          <w:t xml:space="preserve">, </w:t>
        </w:r>
      </w:hyperlink>
      <w:hyperlink r:id="rId20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1"/>
          </w:rPr>
          <w:t xml:space="preserve">לשיעור</w:t>
        </w:r>
      </w:hyperlink>
      <w:hyperlink r:id="rId21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22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1"/>
          </w:rPr>
          <w:t xml:space="preserve">המלא</w:t>
        </w:r>
      </w:hyperlink>
      <w:hyperlink r:id="rId23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24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1"/>
          </w:rPr>
          <w:t xml:space="preserve">לחץ</w:t>
        </w:r>
      </w:hyperlink>
      <w:hyperlink r:id="rId25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1"/>
          </w:rPr>
          <w:t xml:space="preserve"> </w:t>
        </w:r>
      </w:hyperlink>
      <w:hyperlink r:id="rId26">
        <w:r w:rsidDel="00000000" w:rsidR="00000000" w:rsidRPr="00000000">
          <w:rPr>
            <w:rFonts w:ascii="Alef" w:cs="Alef" w:eastAsia="Alef" w:hAnsi="Alef"/>
            <w:color w:val="1155cc"/>
            <w:sz w:val="24"/>
            <w:szCs w:val="24"/>
            <w:u w:val="single"/>
            <w:rtl w:val="1"/>
          </w:rPr>
          <w:t xml:space="preserve">כאן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915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lef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rive.google.com/file/d/0B2OLh4hyJ8gYVGRBZlprREVtczg/view?usp=sharing&amp;resourcekey=0-3vaKdJacB7lvK7Tk5luF2Q" TargetMode="External"/><Relationship Id="rId22" Type="http://schemas.openxmlformats.org/officeDocument/2006/relationships/hyperlink" Target="https://drive.google.com/file/d/0B2OLh4hyJ8gYVGRBZlprREVtczg/view?usp=sharing&amp;resourcekey=0-3vaKdJacB7lvK7Tk5luF2Q" TargetMode="External"/><Relationship Id="rId21" Type="http://schemas.openxmlformats.org/officeDocument/2006/relationships/hyperlink" Target="https://drive.google.com/file/d/0B2OLh4hyJ8gYVGRBZlprREVtczg/view?usp=sharing&amp;resourcekey=0-3vaKdJacB7lvK7Tk5luF2Q" TargetMode="External"/><Relationship Id="rId24" Type="http://schemas.openxmlformats.org/officeDocument/2006/relationships/hyperlink" Target="https://drive.google.com/file/d/0B2OLh4hyJ8gYVGRBZlprREVtczg/view?usp=sharing&amp;resourcekey=0-3vaKdJacB7lvK7Tk5luF2Q" TargetMode="External"/><Relationship Id="rId23" Type="http://schemas.openxmlformats.org/officeDocument/2006/relationships/hyperlink" Target="https://drive.google.com/file/d/0B2OLh4hyJ8gYVGRBZlprREVtczg/view?usp=sharing&amp;resourcekey=0-3vaKdJacB7lvK7Tk5luF2Q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0B2OLh4hyJ8gYVGRBZlprREVtczg/view?usp=sharing&amp;resourcekey=0-3vaKdJacB7lvK7Tk5luF2Q" TargetMode="External"/><Relationship Id="rId26" Type="http://schemas.openxmlformats.org/officeDocument/2006/relationships/hyperlink" Target="https://drive.google.com/file/d/0B2OLh4hyJ8gYVGRBZlprREVtczg/view?usp=sharing&amp;resourcekey=0-3vaKdJacB7lvK7Tk5luF2Q" TargetMode="External"/><Relationship Id="rId25" Type="http://schemas.openxmlformats.org/officeDocument/2006/relationships/hyperlink" Target="https://drive.google.com/file/d/0B2OLh4hyJ8gYVGRBZlprREVtczg/view?usp=sharing&amp;resourcekey=0-3vaKdJacB7lvK7Tk5luF2Q" TargetMode="External"/><Relationship Id="rId5" Type="http://schemas.openxmlformats.org/officeDocument/2006/relationships/styles" Target="styles.xml"/><Relationship Id="rId6" Type="http://schemas.openxmlformats.org/officeDocument/2006/relationships/hyperlink" Target="https://drive.google.com/file/d/0B2OLh4hyJ8gYVGRBZlprREVtczg/view?usp=sharing&amp;resourcekey=0-3vaKdJacB7lvK7Tk5luF2Q" TargetMode="External"/><Relationship Id="rId7" Type="http://schemas.openxmlformats.org/officeDocument/2006/relationships/hyperlink" Target="https://drive.google.com/file/d/0B2OLh4hyJ8gYVGRBZlprREVtczg/view?usp=sharing&amp;resourcekey=0-3vaKdJacB7lvK7Tk5luF2Q" TargetMode="External"/><Relationship Id="rId8" Type="http://schemas.openxmlformats.org/officeDocument/2006/relationships/hyperlink" Target="https://drive.google.com/file/d/0B2OLh4hyJ8gYVGRBZlprREVtczg/view?usp=sharing&amp;resourcekey=0-3vaKdJacB7lvK7Tk5luF2Q" TargetMode="External"/><Relationship Id="rId11" Type="http://schemas.openxmlformats.org/officeDocument/2006/relationships/hyperlink" Target="https://drive.google.com/file/d/0B2OLh4hyJ8gYVGRBZlprREVtczg/view?usp=sharing&amp;resourcekey=0-3vaKdJacB7lvK7Tk5luF2Q" TargetMode="External"/><Relationship Id="rId10" Type="http://schemas.openxmlformats.org/officeDocument/2006/relationships/hyperlink" Target="https://drive.google.com/file/d/0B2OLh4hyJ8gYVGRBZlprREVtczg/view?usp=sharing&amp;resourcekey=0-3vaKdJacB7lvK7Tk5luF2Q" TargetMode="External"/><Relationship Id="rId13" Type="http://schemas.openxmlformats.org/officeDocument/2006/relationships/hyperlink" Target="https://drive.google.com/file/d/0B2OLh4hyJ8gYVGRBZlprREVtczg/view?usp=sharing&amp;resourcekey=0-3vaKdJacB7lvK7Tk5luF2Q" TargetMode="External"/><Relationship Id="rId12" Type="http://schemas.openxmlformats.org/officeDocument/2006/relationships/hyperlink" Target="https://drive.google.com/file/d/0B2OLh4hyJ8gYVGRBZlprREVtczg/view?usp=sharing&amp;resourcekey=0-3vaKdJacB7lvK7Tk5luF2Q" TargetMode="External"/><Relationship Id="rId15" Type="http://schemas.openxmlformats.org/officeDocument/2006/relationships/hyperlink" Target="https://drive.google.com/file/d/0B2OLh4hyJ8gYVGRBZlprREVtczg/view?usp=sharing&amp;resourcekey=0-3vaKdJacB7lvK7Tk5luF2Q" TargetMode="External"/><Relationship Id="rId14" Type="http://schemas.openxmlformats.org/officeDocument/2006/relationships/hyperlink" Target="https://drive.google.com/file/d/0B2OLh4hyJ8gYVGRBZlprREVtczg/view?usp=sharing&amp;resourcekey=0-3vaKdJacB7lvK7Tk5luF2Q" TargetMode="External"/><Relationship Id="rId17" Type="http://schemas.openxmlformats.org/officeDocument/2006/relationships/hyperlink" Target="https://drive.google.com/file/d/0B2OLh4hyJ8gYVGRBZlprREVtczg/view?usp=sharing&amp;resourcekey=0-3vaKdJacB7lvK7Tk5luF2Q" TargetMode="External"/><Relationship Id="rId16" Type="http://schemas.openxmlformats.org/officeDocument/2006/relationships/hyperlink" Target="https://drive.google.com/file/d/0B2OLh4hyJ8gYVGRBZlprREVtczg/view?usp=sharing&amp;resourcekey=0-3vaKdJacB7lvK7Tk5luF2Q" TargetMode="External"/><Relationship Id="rId19" Type="http://schemas.openxmlformats.org/officeDocument/2006/relationships/hyperlink" Target="https://drive.google.com/file/d/0B2OLh4hyJ8gYVGRBZlprREVtczg/view?usp=sharing&amp;resourcekey=0-3vaKdJacB7lvK7Tk5luF2Q" TargetMode="External"/><Relationship Id="rId18" Type="http://schemas.openxmlformats.org/officeDocument/2006/relationships/hyperlink" Target="https://drive.google.com/file/d/0B2OLh4hyJ8gYVGRBZlprREVtczg/view?usp=sharing&amp;resourcekey=0-3vaKdJacB7lvK7Tk5luF2Q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lef-regular.ttf"/><Relationship Id="rId2" Type="http://schemas.openxmlformats.org/officeDocument/2006/relationships/font" Target="fonts/Alef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