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ישאר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כבוד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בהלכה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לאריכות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נכבד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התחיה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rtl w:val="1"/>
        </w:rPr>
        <w:t xml:space="preserve"> 5, </w:t>
      </w:r>
      <w:r w:rsidDel="00000000" w:rsidR="00000000" w:rsidRPr="00000000">
        <w:rPr>
          <w:rFonts w:ascii="Alef" w:cs="Alef" w:eastAsia="Alef" w:hAnsi="Alef"/>
          <w:rtl w:val="1"/>
        </w:rPr>
        <w:t xml:space="preserve">מתפלל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במנין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ומקפיד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לארוחת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מלכותית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rtl w:val="1"/>
        </w:rPr>
        <w:t xml:space="preserve"> 7:00 </w:t>
      </w:r>
      <w:r w:rsidDel="00000000" w:rsidR="00000000" w:rsidRPr="00000000">
        <w:rPr>
          <w:rFonts w:ascii="Alef" w:cs="Alef" w:eastAsia="Alef" w:hAnsi="Alef"/>
          <w:rtl w:val="1"/>
        </w:rPr>
        <w:t xml:space="preserve">בול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חבדני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למקוה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לומד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ומתפלל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באריכות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שחרית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תפילת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מנחה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נס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הזמין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לביקור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החליט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דרכי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להתפלל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שחרית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ותיקין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ומסיים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ארוחת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שהסתיימה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7:30 </w:t>
      </w:r>
      <w:r w:rsidDel="00000000" w:rsidR="00000000" w:rsidRPr="00000000">
        <w:rPr>
          <w:rFonts w:ascii="Alef" w:cs="Alef" w:eastAsia="Alef" w:hAnsi="Alef"/>
          <w:rtl w:val="1"/>
        </w:rPr>
        <w:t xml:space="preserve">בול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נעמד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מבין</w:t>
      </w:r>
      <w:r w:rsidDel="00000000" w:rsidR="00000000" w:rsidRPr="00000000">
        <w:rPr>
          <w:rFonts w:ascii="Alef" w:cs="Alef" w:eastAsia="Alef" w:hAnsi="Alef"/>
          <w:rtl w:val="1"/>
        </w:rPr>
        <w:t xml:space="preserve">!!!"</w:t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הבנת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?" </w:t>
      </w:r>
      <w:r w:rsidDel="00000000" w:rsidR="00000000" w:rsidRPr="00000000">
        <w:rPr>
          <w:rFonts w:ascii="Alef" w:cs="Alef" w:eastAsia="Alef" w:hAnsi="Alef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המופתע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הבנתי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אביך</w:t>
      </w:r>
      <w:r w:rsidDel="00000000" w:rsidR="00000000" w:rsidRPr="00000000">
        <w:rPr>
          <w:rFonts w:ascii="Alef" w:cs="Alef" w:eastAsia="Alef" w:hAnsi="Alef"/>
          <w:rtl w:val="1"/>
        </w:rPr>
        <w:t xml:space="preserve">.. </w:t>
      </w:r>
      <w:r w:rsidDel="00000000" w:rsidR="00000000" w:rsidRPr="00000000">
        <w:rPr>
          <w:rFonts w:ascii="Alef" w:cs="Alef" w:eastAsia="Alef" w:hAnsi="Alef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למען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יאריכון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ימיך</w:t>
      </w:r>
      <w:r w:rsidDel="00000000" w:rsidR="00000000" w:rsidRPr="00000000">
        <w:rPr>
          <w:rFonts w:ascii="Alef" w:cs="Alef" w:eastAsia="Alef" w:hAnsi="Alef"/>
          <w:rtl w:val="1"/>
        </w:rPr>
        <w:t xml:space="preserve">!" </w:t>
      </w:r>
      <w:r w:rsidDel="00000000" w:rsidR="00000000" w:rsidRPr="00000000">
        <w:rPr>
          <w:rFonts w:ascii="Alef" w:cs="Alef" w:eastAsia="Alef" w:hAnsi="Alef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פתאום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איתך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נוספו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E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-</w:t>
      </w:r>
      <w:r w:rsidDel="00000000" w:rsidR="00000000" w:rsidRPr="00000000">
        <w:rPr>
          <w:rFonts w:ascii="Alef" w:cs="Alef" w:eastAsia="Alef" w:hAnsi="Alef"/>
          <w:rtl w:val="1"/>
        </w:rPr>
        <w:t xml:space="preserve">המעמד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בתולדות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ההיסטוריה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מיליוני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וטף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הצטופפו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למרגלות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סיני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בבוקר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סיון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אלפים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לבריאת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ולשמוע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במו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עיניהם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נתינת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בכבודו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ובעצמו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הרגעים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המרטיטים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ליוותה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אירועים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שמימיים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המתוארים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במדרשי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ובגמרא</w:t>
      </w:r>
      <w:r w:rsidDel="00000000" w:rsidR="00000000" w:rsidRPr="00000000">
        <w:rPr>
          <w:rFonts w:ascii="Alef" w:cs="Alef" w:eastAsia="Alef" w:hAnsi="Alef"/>
          <w:rtl w:val="1"/>
        </w:rPr>
        <w:t xml:space="preserve">."</w:t>
      </w:r>
      <w:r w:rsidDel="00000000" w:rsidR="00000000" w:rsidRPr="00000000">
        <w:rPr>
          <w:rFonts w:ascii="Alef" w:cs="Alef" w:eastAsia="Alef" w:hAnsi="Alef"/>
          <w:rtl w:val="1"/>
        </w:rPr>
        <w:t xml:space="preserve">צפור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צווח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געה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אופנים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עפו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שרפים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נזדעזע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הבריות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שותק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ומחריש</w:t>
      </w:r>
      <w:r w:rsidDel="00000000" w:rsidR="00000000" w:rsidRPr="00000000">
        <w:rPr>
          <w:rFonts w:ascii="Alef" w:cs="Alef" w:eastAsia="Alef" w:hAnsi="Alef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rtl w:val="1"/>
        </w:rPr>
        <w:t xml:space="preserve">שמו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כט</w:t>
      </w:r>
      <w:r w:rsidDel="00000000" w:rsidR="00000000" w:rsidRPr="00000000">
        <w:rPr>
          <w:rFonts w:ascii="Alef" w:cs="Alef" w:eastAsia="Alef" w:hAnsi="Alef"/>
          <w:rtl w:val="1"/>
        </w:rPr>
        <w:t xml:space="preserve">)…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אלוקיך</w:t>
      </w:r>
      <w:r w:rsidDel="00000000" w:rsidR="00000000" w:rsidRPr="00000000">
        <w:rPr>
          <w:rFonts w:ascii="Alef" w:cs="Alef" w:eastAsia="Alef" w:hAnsi="Alef"/>
          <w:rtl w:val="1"/>
        </w:rPr>
        <w:t xml:space="preserve">...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התיאור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המרגש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קפיאה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מוחלטת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האנושות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ולמעשה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ברגעים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המקדימים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מזעיר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עוצמת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ההשפעה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לאירוע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המיוחדות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נצטוינו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מוסרית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וערכית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הסכימו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בעבר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ובעז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יסכימו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בעתיד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הדתות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השכבות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בעלי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ההשקפות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החוגים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בצידה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וארוכים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שמבטיחה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למען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יאריכון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ימיך</w:t>
      </w:r>
      <w:r w:rsidDel="00000000" w:rsidR="00000000" w:rsidRPr="00000000">
        <w:rPr>
          <w:rFonts w:ascii="Alef" w:cs="Alef" w:eastAsia="Alef" w:hAnsi="Alef"/>
          <w:rtl w:val="1"/>
        </w:rPr>
        <w:t xml:space="preserve">".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הייתם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שולח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גוזלות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אפרוחים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קטנים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מקן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העץ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הילד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מטפס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ועולה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שולח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שילוח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הקן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ומוריד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הגוזלות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מאמץ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המשקל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נופל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ומת</w:t>
      </w:r>
      <w:r w:rsidDel="00000000" w:rsidR="00000000" w:rsidRPr="00000000">
        <w:rPr>
          <w:rFonts w:ascii="Alef" w:cs="Alef" w:eastAsia="Alef" w:hAnsi="Alef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הטובים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ואיפה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הארוכים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התנא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המפורסם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עגום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ובלית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ברירה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למען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יאריכון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ימיך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שכולו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שכולו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ארוך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לפעמים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הטובים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והארוכים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מקבלים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התחיייה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נשאלת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מעניינת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נצטרך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שחזרו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לבתה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ישתנה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בשו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פעלים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לישרים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מאריך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המחבר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חילוק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משמעותי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שמקורן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שמקורן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בנשמה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לדבריו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שיעמוד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בתחיית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זיקה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ושייכות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שנקבר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ונרקב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שמקורן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למשנהו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ונגמר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הפטירה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התחיה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דוגמא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rtl w:val="1"/>
        </w:rPr>
        <w:t xml:space="preserve">דיני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ונישואין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איסורי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עריות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וכדומה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דינים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ואיסורים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מתבטלים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נפטר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חוזרים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ומתעוררים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תחיית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טכנית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תחיית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אחותו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לשעבר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אחותו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המנין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תקף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ובתה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הספציפי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ומתנהג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בעצם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ומחודש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מבלי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לבת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יתכן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שחידושו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במחלוקת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תנאים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יסודית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תלויים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במחלוקת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נושנה</w:t>
      </w:r>
      <w:r w:rsidDel="00000000" w:rsidR="00000000" w:rsidRPr="00000000">
        <w:rPr>
          <w:rFonts w:ascii="Alef" w:cs="Alef" w:eastAsia="Alef" w:hAnsi="Alef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דלעתיד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יבנה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עצם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הלוז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שתשאר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נצחית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הבנין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דלעתיד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תתרחש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יצירה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לגמרי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ושייכות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מציאות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אחרת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השיטה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דתחיית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יבנה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הלוז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אימה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שממנה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נבנה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שממנה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נוצרה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ונחוץ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ולירא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נרצה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להתעקש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שמצות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תלויה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בגוף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תלויה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בנשמה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C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ראוי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לציין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פעלים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מתחשב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ומתייחס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לעובדה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שהחובה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מבוססת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זיקה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גופנית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זיקה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נשמתית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אזכורים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שחובת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כתוצאה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מהנשמה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הקדושה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הלידה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ולבתם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נישואיהם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ומכיון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שהנשמות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ישתנו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נשמת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ונשמת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תשארנה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נשמות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ורוח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תשארנה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לצאצאיהם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ונצחי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ועמוק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להבדיל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ולבטל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התחיה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סמוכין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ההלכה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המפורסם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מיתתם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והרי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מיתת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הגופות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לחייב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בכבודם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1E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שמכאן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ניצחת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עמוק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נשמתי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עוצמתי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לילדים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לנתק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מוליד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יוצר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שישארו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ויתקיימו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בנקודות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חנה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בערל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יוניק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</w:p>
    <w:p w:rsidR="00000000" w:rsidDel="00000000" w:rsidP="00000000" w:rsidRDefault="00000000" w:rsidRPr="00000000" w14:paraId="00000021">
      <w:pPr>
        <w:bidi w:val="1"/>
        <w:spacing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באייר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תשי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בבוקר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הגיעה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הידיעה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פטירתו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אריה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לייב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גרונר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מישהו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שכבר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וביקש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יעבירו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הידיעה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לאימו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זכור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התאמץ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אפשרית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לגרום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שאימו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תדע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לדוגמה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שרק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מניין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מצומצם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יבוא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להתפלל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אצלו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בימי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שבעה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'.</w:t>
      </w:r>
    </w:p>
    <w:p w:rsidR="00000000" w:rsidDel="00000000" w:rsidP="00000000" w:rsidRDefault="00000000" w:rsidRPr="00000000" w14:paraId="00000024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שבעה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עצמם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הלך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לבקר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אימו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כמנהגו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חושש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שאימו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תבחין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נועל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נעליים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רגילות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[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בגלל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האבלות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נעל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נעלי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סוליות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לבנות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].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הבאתי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צבע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שחור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וצבעתי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במברשת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החלק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הלבן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שבסוליות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הנעליים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ייראו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כנעליים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רגילות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לגבי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הביקור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היומי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ממני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[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מימי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שבעה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']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שכעבור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דקה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שתיים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מבואו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אתקשר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בטלפון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יוכל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להפריע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לשיחת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הטלפון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וללכת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בחזרה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-770 [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בגלל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האבלות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לשבת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ולהתנהג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כרגיל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והיה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חשש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תרגיש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בזה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].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המתואמת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מראש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התקשרתי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חנה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השפופרת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לאימו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מישהו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לשוחח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איתך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בטלפון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להפריע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לשיחה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והוסיף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רייד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געזונטערהייט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[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לבריאות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],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לילה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והלך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מאז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חודשים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ברציפות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הייתי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לוקח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המכתבים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שהגיעו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ומביא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עובר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הייתי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מחזיר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המכתבים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לתיבת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הדואר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כשהרבנית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פתחה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המכתבים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הבחינה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שמישהו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פתח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המכתבים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לפניה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חשדה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בשום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חלפו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חודשים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אמרה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חנה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בצער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יודעת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לבני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לייבל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כתב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ויש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עגמת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מזה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</w:t>
      </w:r>
    </w:p>
    <w:p w:rsidR="00000000" w:rsidDel="00000000" w:rsidP="00000000" w:rsidRDefault="00000000" w:rsidRPr="00000000" w14:paraId="00000029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סיפרתי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מושקא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כעבור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אחדים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מסר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שאשים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בתיבת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הדואר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אימו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80" w:before="80"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כשביקרתי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אצל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סיפרה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בשמחה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קיבלתי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לייבל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כלתי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ונכדתי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כתבו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מילים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".</w:t>
      </w:r>
    </w:p>
    <w:p w:rsidR="00000000" w:rsidDel="00000000" w:rsidP="00000000" w:rsidRDefault="00000000" w:rsidRPr="00000000" w14:paraId="0000002B">
      <w:pPr>
        <w:bidi w:val="1"/>
        <w:spacing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אחדים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השבועות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היסב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תשומת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ליבי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כדאי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לדאוג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לארגן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מברק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ומשפחתו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לכבוד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החג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line="276" w:lineRule="auto"/>
        <w:ind w:left="720" w:firstLine="0"/>
        <w:rPr>
          <w:rFonts w:ascii="Alef" w:cs="Alef" w:eastAsia="Alef" w:hAnsi="Alef"/>
          <w:color w:val="333333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ידעתי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לזייף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מברק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" ־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בערל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– "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חיה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מושקא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אמרה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שאגש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למזכירות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ואביא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איזשהו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מברק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שהתקבל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תראה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הבאתי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מברק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והרבנית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לקחה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קומקום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הרתיחה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ואחר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הראתה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להיעזר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באדים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להדביק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המעטפה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ירגישו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שמישהו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פתח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וכשסיימתי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כתב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המזכיר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מענדל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סימפסון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הנוסח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ובו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מסרנו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מברק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לרבנית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חנה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line="276" w:lineRule="auto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!</w:t>
      </w:r>
    </w:p>
    <w:p w:rsidR="00000000" w:rsidDel="00000000" w:rsidP="00000000" w:rsidRDefault="00000000" w:rsidRPr="00000000" w14:paraId="0000002E">
      <w:pPr>
        <w:bidi w:val="1"/>
        <w:spacing w:line="276" w:lineRule="auto"/>
        <w:rPr>
          <w:rFonts w:ascii="Alef" w:cs="Alef" w:eastAsia="Alef" w:hAnsi="Alef"/>
          <w:color w:val="333333"/>
        </w:rPr>
      </w:pP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333333"/>
          <w:rtl w:val="1"/>
        </w:rPr>
        <w:t xml:space="preserve">!</w:t>
      </w:r>
    </w:p>
    <w:sectPr>
      <w:pgSz w:h="16834" w:w="11909" w:orient="portrait"/>
      <w:pgMar w:bottom="645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