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0"/>
          <w:szCs w:val="30"/>
        </w:rPr>
      </w:pP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לקפוץ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לתוך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האש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לקו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וישב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חנוכה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lef" w:cs="Alef" w:eastAsia="Alef" w:hAnsi="Alef"/>
          <w:sz w:val="30"/>
          <w:szCs w:val="30"/>
        </w:rPr>
      </w:pP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סיכן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חייו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ומתי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ליהודי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למסור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נפשו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?!</w:t>
      </w:r>
    </w:p>
    <w:p w:rsidR="00000000" w:rsidDel="00000000" w:rsidP="00000000" w:rsidRDefault="00000000" w:rsidRPr="00000000" w14:paraId="00000006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יענטא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קשישה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מגיעה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הכנסת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מגיעים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וישב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מכירת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מתייפחת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בדמעות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העירונית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שיענטא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בוכה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</w:p>
    <w:p w:rsidR="00000000" w:rsidDel="00000000" w:rsidP="00000000" w:rsidRDefault="00000000" w:rsidRPr="00000000" w14:paraId="00000008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יענטא</w:t>
      </w:r>
      <w:r w:rsidDel="00000000" w:rsidR="00000000" w:rsidRPr="00000000">
        <w:rPr>
          <w:rFonts w:ascii="Alef" w:cs="Alef" w:eastAsia="Alef" w:hAnsi="Alef"/>
          <w:rtl w:val="1"/>
        </w:rPr>
        <w:t xml:space="preserve">?!" </w:t>
      </w:r>
      <w:r w:rsidDel="00000000" w:rsidR="00000000" w:rsidRPr="00000000">
        <w:rPr>
          <w:rFonts w:ascii="Alef" w:cs="Alef" w:eastAsia="Alef" w:hAnsi="Alef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ממררת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בדמעות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העצוב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.."</w:t>
      </w:r>
    </w:p>
    <w:p w:rsidR="00000000" w:rsidDel="00000000" w:rsidP="00000000" w:rsidRDefault="00000000" w:rsidRPr="00000000" w14:paraId="00000009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ענתה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הזקנה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חוזר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טעות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האחים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הפעם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0A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וישב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פותחת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סיפורו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ומכירתו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בהסתכלות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ראשונית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ושטחית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שהנהגתו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הפראית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הצדיק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תואמת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והולמת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עקרונות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הבסיסיים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נהג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לכאורה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בניגוד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לעיקרון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ההלכתי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הצצה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בפירוש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הפסוקים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מודע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הסכנה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הגדולה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הכרוכה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במעשיו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לדרוש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בשלום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לפתע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פוגש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גבריאל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בכבודו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ובעצמו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שמספר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נמצאים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בדותן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אחרות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מחפשים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להרוג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אותך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תזהר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מתעלם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וממשיך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בדרכו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rtl w:val="1"/>
        </w:rPr>
        <w:t xml:space="preserve">.. </w:t>
      </w:r>
      <w:r w:rsidDel="00000000" w:rsidR="00000000" w:rsidRPr="00000000">
        <w:rPr>
          <w:rFonts w:ascii="Alef" w:cs="Alef" w:eastAsia="Alef" w:hAnsi="Alef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מפקיר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חייו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קושיות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מפרשים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לדוגמא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שנוטים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מפורשות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כוונת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השתמש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משמעית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שיכולה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להתפרש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כאינדיקציה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דותן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איזור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ויוסף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הרמז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לרמוז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התעלם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מהסכנה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מדובר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בפירושו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לגמרא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סוטה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יג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ששיטת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כזאת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נחרצות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דיר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בלאק</w:t>
      </w:r>
      <w:r w:rsidDel="00000000" w:rsidR="00000000" w:rsidRPr="00000000">
        <w:rPr>
          <w:rFonts w:ascii="Alef" w:cs="Alef" w:eastAsia="Alef" w:hAnsi="Alef"/>
          <w:rtl w:val="1"/>
        </w:rPr>
        <w:t xml:space="preserve">"-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סכנת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ויוסף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התעלם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סימני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האזהרה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שואלים</w:t>
      </w:r>
      <w:r w:rsidDel="00000000" w:rsidR="00000000" w:rsidRPr="00000000">
        <w:rPr>
          <w:rFonts w:ascii="Alef" w:cs="Alef" w:eastAsia="Alef" w:hAnsi="Alef"/>
          <w:rtl w:val="1"/>
        </w:rPr>
        <w:t xml:space="preserve">:</w:t>
      </w: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מחלוקת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מפורסמת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לתוספות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משלשת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העבירות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הידועות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גילוי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עריות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ושפיכות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דמים</w:t>
      </w:r>
      <w:r w:rsidDel="00000000" w:rsidR="00000000" w:rsidRPr="00000000">
        <w:rPr>
          <w:rFonts w:ascii="Alef" w:cs="Alef" w:eastAsia="Alef" w:hAnsi="Alef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rtl w:val="1"/>
        </w:rPr>
        <w:t xml:space="preserve">לשיטת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יעבור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יהרג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ונהרג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מתחייב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בנפשו</w:t>
      </w:r>
      <w:r w:rsidDel="00000000" w:rsidR="00000000" w:rsidRPr="00000000">
        <w:rPr>
          <w:rFonts w:ascii="Alef" w:cs="Alef" w:eastAsia="Alef" w:hAnsi="Alef"/>
          <w:rtl w:val="1"/>
        </w:rPr>
        <w:t xml:space="preserve">"(</w:t>
      </w:r>
      <w:r w:rsidDel="00000000" w:rsidR="00000000" w:rsidRPr="00000000">
        <w:rPr>
          <w:rFonts w:ascii="Alef" w:cs="Alef" w:eastAsia="Alef" w:hAnsi="Alef"/>
          <w:rtl w:val="1"/>
        </w:rPr>
        <w:t xml:space="preserve">יסודי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מחיר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להחמיר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ולמסור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נפשו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לעומת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התוספות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כז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שהרשות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נתונה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מחליט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תעשה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צדקה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תחשב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"!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התוספות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שיטת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ליוסף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מפורשת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מיעקב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בראשית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</w:t>
      </w:r>
      <w:r w:rsidDel="00000000" w:rsidR="00000000" w:rsidRPr="00000000">
        <w:rPr>
          <w:rFonts w:ascii="Alef" w:cs="Alef" w:eastAsia="Alef" w:hAnsi="Alef"/>
          <w:color w:val="202122"/>
          <w:sz w:val="32"/>
          <w:szCs w:val="32"/>
          <w:highlight w:val="white"/>
          <w:rtl w:val="0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משמעותה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משמעותה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המצוה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 (!)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ולזכות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הכ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כרוך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בסכנת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נפשות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ולפי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התוספות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נשאלת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השאלה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מותר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ההגיון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בהנהגה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שגעון</w:t>
      </w:r>
      <w:r w:rsidDel="00000000" w:rsidR="00000000" w:rsidRPr="00000000">
        <w:rPr>
          <w:rFonts w:ascii="Alef" w:cs="Alef" w:eastAsia="Alef" w:hAnsi="Alef"/>
          <w:rtl w:val="1"/>
        </w:rPr>
        <w:t xml:space="preserve">..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מצאנו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ירצה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להתנהג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משוגע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טמבל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יתרה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והשיבני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דבר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להחזיר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ליעקב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להעביר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המידע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הלאה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יהרג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באמצע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באמצע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ביצוע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המשימה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ומכאן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תתבצע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איבד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להתנהגות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פראית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שכזו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הנמוקי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חביבא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מגדולי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בפירושו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למסכת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סנהדרין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משפט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קצר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וקולע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ששופך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התנהגותו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המוזרה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הצדיק</w:t>
      </w:r>
      <w:r w:rsidDel="00000000" w:rsidR="00000000" w:rsidRPr="00000000">
        <w:rPr>
          <w:rFonts w:ascii="Alef" w:cs="Alef" w:eastAsia="Alef" w:hAnsi="Alef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וחסיד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ורואה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שהדור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פרוץ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ולמסור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שיראו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ולמדו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ולאהבו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לבם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הצדיק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פראי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מורה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משוגע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מסור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לחנך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חשיבות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זלזול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שמעון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הורגים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בניגוד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אביהם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ראובן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מבלבל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יצועי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שונאים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בגלל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שאביו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אוהב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המהווה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פגיעה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חמורה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הדור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פרוץ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וצריך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במחיר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חפץ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עבור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שממנו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יראו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וילמדו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עומדים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הדלקת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חנוכה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ידועים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השל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החשמונאים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ומלחמתם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הניצחת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ביוונים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הצדיק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מתתיהו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ובניו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ולמעלה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חשבון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הנהגת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המכבים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פראית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ומוזרה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הנהגתו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יוסף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ממתי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למלחמה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נטען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שבשעת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גזירות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מוכרחים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ומצוה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כתוב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אקדחים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ולזרוק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רימונים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איפה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כתוב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פרטיזנים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ולברוח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לגבעות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בפרט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סיכוי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לנצח</w:t>
      </w:r>
      <w:r w:rsidDel="00000000" w:rsidR="00000000" w:rsidRPr="00000000">
        <w:rPr>
          <w:rFonts w:ascii="Alef" w:cs="Alef" w:eastAsia="Alef" w:hAnsi="Alef"/>
          <w:rtl w:val="1"/>
        </w:rPr>
        <w:t xml:space="preserve">...</w:t>
      </w:r>
      <w:r w:rsidDel="00000000" w:rsidR="00000000" w:rsidRPr="00000000">
        <w:rPr>
          <w:rFonts w:ascii="Alef" w:cs="Alef" w:eastAsia="Alef" w:hAnsi="Alef"/>
          <w:rtl w:val="1"/>
        </w:rPr>
        <w:t xml:space="preserve">מדובר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מעטים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חלשים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גיבורים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תחשבו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קבוצה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בחורי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ישיבה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מתלהמים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הגיוני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שהתשובה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נעוצה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צמד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כהניך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הקדושים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החשמונאים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ידעו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כהניך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הקדושים</w:t>
      </w:r>
      <w:r w:rsidDel="00000000" w:rsidR="00000000" w:rsidRPr="00000000">
        <w:rPr>
          <w:rFonts w:ascii="Alef" w:cs="Alef" w:eastAsia="Alef" w:hAnsi="Alef"/>
          <w:rtl w:val="1"/>
        </w:rPr>
        <w:t xml:space="preserve">", "</w:t>
      </w:r>
      <w:r w:rsidDel="00000000" w:rsidR="00000000" w:rsidRPr="00000000">
        <w:rPr>
          <w:rFonts w:ascii="Alef" w:cs="Alef" w:eastAsia="Alef" w:hAnsi="Alef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הגדולים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וחל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וחסיד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שמים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למסור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ולתקן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בחומות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וכאשר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מתנהגים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למעלה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חשבון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זוכים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תשועות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ונפלאות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בימים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וזוהי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ההוראה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הברורה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להתמסר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למעלה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חשבון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והגיון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השקעת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מאמץ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לגילוי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קדושת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בחיי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וגילוי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מציאותו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להתפעל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מחשבונות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מאסר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וכפי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שראינו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שעומדים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ועובדים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רואים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ניסים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נסיים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בסקירה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קצרה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ממונקאטש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rtl w:val="1"/>
        </w:rPr>
        <w:t xml:space="preserve">מנחת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אלעזר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המלמדת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הדרושה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וייס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שכונת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נווה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אחיעזר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בבני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ותלמידו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המונקאטשער</w:t>
      </w:r>
      <w:r w:rsidDel="00000000" w:rsidR="00000000" w:rsidRPr="00000000">
        <w:rPr>
          <w:rFonts w:ascii="Alef" w:cs="Alef" w:eastAsia="Alef" w:hAnsi="Alef"/>
          <w:rtl w:val="1"/>
        </w:rPr>
        <w:t xml:space="preserve">:"”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הזכיר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ודיבר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’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‘.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אשכח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כאשר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התקיעות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ודרש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הקהל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באומרו</w:t>
      </w:r>
      <w:r w:rsidDel="00000000" w:rsidR="00000000" w:rsidRPr="00000000">
        <w:rPr>
          <w:rFonts w:ascii="Alef" w:cs="Alef" w:eastAsia="Alef" w:hAnsi="Alef"/>
          <w:rtl w:val="1"/>
        </w:rPr>
        <w:t xml:space="preserve"> ’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תעזבו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הצדדיים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בבריאות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ובפרנסה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שכולנו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להתפלל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בראש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‘</w:t>
      </w:r>
    </w:p>
    <w:p w:rsidR="00000000" w:rsidDel="00000000" w:rsidP="00000000" w:rsidRDefault="00000000" w:rsidRPr="00000000" w14:paraId="00000021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הושענה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תרצ</w:t>
      </w:r>
      <w:r w:rsidDel="00000000" w:rsidR="00000000" w:rsidRPr="00000000">
        <w:rPr>
          <w:rFonts w:ascii="Alef" w:cs="Alef" w:eastAsia="Alef" w:hAnsi="Alef"/>
          <w:rtl w:val="1"/>
        </w:rPr>
        <w:t xml:space="preserve">“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rtl w:val="1"/>
        </w:rPr>
        <w:t xml:space="preserve">“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ממונקאטש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קהילתו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בדבריו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כפשוטו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:" </w:t>
      </w:r>
      <w:r w:rsidDel="00000000" w:rsidR="00000000" w:rsidRPr="00000000">
        <w:rPr>
          <w:rFonts w:ascii="Alef" w:cs="Alef" w:eastAsia="Alef" w:hAnsi="Alef"/>
          <w:rtl w:val="1"/>
        </w:rPr>
        <w:t xml:space="preserve">באם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יאמרו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יבוא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בתנאי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ואופן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תמותו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תקבלו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rtl w:val="1"/>
        </w:rPr>
        <w:t xml:space="preserve">־</w:t>
      </w:r>
      <w:r w:rsidDel="00000000" w:rsidR="00000000" w:rsidRPr="00000000">
        <w:rPr>
          <w:rFonts w:ascii="Alef" w:cs="Alef" w:eastAsia="Alef" w:hAnsi="Alef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ויענו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העם</w:t>
      </w:r>
      <w:r w:rsidDel="00000000" w:rsidR="00000000" w:rsidRPr="00000000">
        <w:rPr>
          <w:rFonts w:ascii="Alef" w:cs="Alef" w:eastAsia="Alef" w:hAnsi="Alef"/>
          <w:rtl w:val="1"/>
        </w:rPr>
        <w:t xml:space="preserve">: ”</w:t>
      </w:r>
      <w:r w:rsidDel="00000000" w:rsidR="00000000" w:rsidRPr="00000000">
        <w:rPr>
          <w:rFonts w:ascii="Alef" w:cs="Alef" w:eastAsia="Alef" w:hAnsi="Alef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rtl w:val="1"/>
        </w:rPr>
        <w:t xml:space="preserve">!“</w:t>
      </w:r>
    </w:p>
    <w:p w:rsidR="00000000" w:rsidDel="00000000" w:rsidP="00000000" w:rsidRDefault="00000000" w:rsidRPr="00000000" w14:paraId="00000022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דרשה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מכתב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כתב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לתלמיד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מסוים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שעירער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נדפסו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בספריו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ובשיחת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תשד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הזכיר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הלואי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מפרסמים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המכתב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.."</w:t>
      </w:r>
    </w:p>
    <w:p w:rsidR="00000000" w:rsidDel="00000000" w:rsidP="00000000" w:rsidRDefault="00000000" w:rsidRPr="00000000" w14:paraId="00000023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25">
      <w:pPr>
        <w:bidi w:val="1"/>
        <w:jc w:val="center"/>
        <w:rPr>
          <w:rFonts w:ascii="Alef" w:cs="Alef" w:eastAsia="Alef" w:hAnsi="Alef"/>
        </w:rPr>
      </w:pPr>
      <w:hyperlink r:id="rId6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מבוסס</w:t>
        </w:r>
      </w:hyperlink>
      <w:hyperlink r:id="rId7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על</w:t>
        </w:r>
      </w:hyperlink>
      <w:hyperlink r:id="rId9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שיעור</w:t>
        </w:r>
      </w:hyperlink>
      <w:hyperlink r:id="rId11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משיח</w:t>
        </w:r>
      </w:hyperlink>
      <w:hyperlink r:id="rId13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בפרשה</w:t>
        </w:r>
      </w:hyperlink>
      <w:hyperlink r:id="rId15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מהמחזור</w:t>
        </w:r>
      </w:hyperlink>
      <w:hyperlink r:id="rId17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השני</w:t>
        </w:r>
      </w:hyperlink>
      <w:hyperlink r:id="rId19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-</w:t>
        </w:r>
      </w:hyperlink>
      <w:hyperlink r:id="rId20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תשע</w:t>
        </w:r>
      </w:hyperlink>
      <w:hyperlink r:id="rId21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"</w:t>
        </w:r>
      </w:hyperlink>
      <w:hyperlink r:id="rId22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ד</w:t>
        </w:r>
      </w:hyperlink>
      <w:hyperlink r:id="rId23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, </w:t>
        </w:r>
      </w:hyperlink>
      <w:hyperlink r:id="rId24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לשיעור</w:t>
        </w:r>
      </w:hyperlink>
      <w:hyperlink r:id="rId25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26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המלא</w:t>
        </w:r>
      </w:hyperlink>
      <w:hyperlink r:id="rId27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28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לחץ</w:t>
        </w:r>
      </w:hyperlink>
      <w:hyperlink r:id="rId29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30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0B2OLh4hyJ8gYYkEzdGkxczJQNWc/view?usp=sharing&amp;resourcekey=0-B4_Obh2j4gbIZ0rcmq1ziQ" TargetMode="External"/><Relationship Id="rId22" Type="http://schemas.openxmlformats.org/officeDocument/2006/relationships/hyperlink" Target="https://drive.google.com/file/d/0B2OLh4hyJ8gYYkEzdGkxczJQNWc/view?usp=sharing&amp;resourcekey=0-B4_Obh2j4gbIZ0rcmq1ziQ" TargetMode="External"/><Relationship Id="rId21" Type="http://schemas.openxmlformats.org/officeDocument/2006/relationships/hyperlink" Target="https://drive.google.com/file/d/0B2OLh4hyJ8gYYkEzdGkxczJQNWc/view?usp=sharing&amp;resourcekey=0-B4_Obh2j4gbIZ0rcmq1ziQ" TargetMode="External"/><Relationship Id="rId24" Type="http://schemas.openxmlformats.org/officeDocument/2006/relationships/hyperlink" Target="https://drive.google.com/file/d/0B2OLh4hyJ8gYYkEzdGkxczJQNWc/view?usp=sharing&amp;resourcekey=0-B4_Obh2j4gbIZ0rcmq1ziQ" TargetMode="External"/><Relationship Id="rId23" Type="http://schemas.openxmlformats.org/officeDocument/2006/relationships/hyperlink" Target="https://drive.google.com/file/d/0B2OLh4hyJ8gYYkEzdGkxczJQNWc/view?usp=sharing&amp;resourcekey=0-B4_Obh2j4gbIZ0rcmq1zi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0B2OLh4hyJ8gYYkEzdGkxczJQNWc/view?usp=sharing&amp;resourcekey=0-B4_Obh2j4gbIZ0rcmq1ziQ" TargetMode="External"/><Relationship Id="rId26" Type="http://schemas.openxmlformats.org/officeDocument/2006/relationships/hyperlink" Target="https://drive.google.com/file/d/0B2OLh4hyJ8gYYkEzdGkxczJQNWc/view?usp=sharing&amp;resourcekey=0-B4_Obh2j4gbIZ0rcmq1ziQ" TargetMode="External"/><Relationship Id="rId25" Type="http://schemas.openxmlformats.org/officeDocument/2006/relationships/hyperlink" Target="https://drive.google.com/file/d/0B2OLh4hyJ8gYYkEzdGkxczJQNWc/view?usp=sharing&amp;resourcekey=0-B4_Obh2j4gbIZ0rcmq1ziQ" TargetMode="External"/><Relationship Id="rId28" Type="http://schemas.openxmlformats.org/officeDocument/2006/relationships/hyperlink" Target="https://drive.google.com/file/d/0B2OLh4hyJ8gYYkEzdGkxczJQNWc/view?usp=sharing&amp;resourcekey=0-B4_Obh2j4gbIZ0rcmq1ziQ" TargetMode="External"/><Relationship Id="rId27" Type="http://schemas.openxmlformats.org/officeDocument/2006/relationships/hyperlink" Target="https://drive.google.com/file/d/0B2OLh4hyJ8gYYkEzdGkxczJQNWc/view?usp=sharing&amp;resourcekey=0-B4_Obh2j4gbIZ0rcmq1ziQ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0B2OLh4hyJ8gYYkEzdGkxczJQNWc/view?usp=sharing&amp;resourcekey=0-B4_Obh2j4gbIZ0rcmq1ziQ" TargetMode="External"/><Relationship Id="rId29" Type="http://schemas.openxmlformats.org/officeDocument/2006/relationships/hyperlink" Target="https://drive.google.com/file/d/0B2OLh4hyJ8gYYkEzdGkxczJQNWc/view?usp=sharing&amp;resourcekey=0-B4_Obh2j4gbIZ0rcmq1ziQ" TargetMode="External"/><Relationship Id="rId7" Type="http://schemas.openxmlformats.org/officeDocument/2006/relationships/hyperlink" Target="https://drive.google.com/file/d/0B2OLh4hyJ8gYYkEzdGkxczJQNWc/view?usp=sharing&amp;resourcekey=0-B4_Obh2j4gbIZ0rcmq1ziQ" TargetMode="External"/><Relationship Id="rId8" Type="http://schemas.openxmlformats.org/officeDocument/2006/relationships/hyperlink" Target="https://drive.google.com/file/d/0B2OLh4hyJ8gYYkEzdGkxczJQNWc/view?usp=sharing&amp;resourcekey=0-B4_Obh2j4gbIZ0rcmq1ziQ" TargetMode="External"/><Relationship Id="rId30" Type="http://schemas.openxmlformats.org/officeDocument/2006/relationships/hyperlink" Target="https://drive.google.com/file/d/0B2OLh4hyJ8gYYkEzdGkxczJQNWc/view?usp=sharing&amp;resourcekey=0-B4_Obh2j4gbIZ0rcmq1ziQ" TargetMode="External"/><Relationship Id="rId11" Type="http://schemas.openxmlformats.org/officeDocument/2006/relationships/hyperlink" Target="https://drive.google.com/file/d/0B2OLh4hyJ8gYYkEzdGkxczJQNWc/view?usp=sharing&amp;resourcekey=0-B4_Obh2j4gbIZ0rcmq1ziQ" TargetMode="External"/><Relationship Id="rId10" Type="http://schemas.openxmlformats.org/officeDocument/2006/relationships/hyperlink" Target="https://drive.google.com/file/d/0B2OLh4hyJ8gYYkEzdGkxczJQNWc/view?usp=sharing&amp;resourcekey=0-B4_Obh2j4gbIZ0rcmq1ziQ" TargetMode="External"/><Relationship Id="rId13" Type="http://schemas.openxmlformats.org/officeDocument/2006/relationships/hyperlink" Target="https://drive.google.com/file/d/0B2OLh4hyJ8gYYkEzdGkxczJQNWc/view?usp=sharing&amp;resourcekey=0-B4_Obh2j4gbIZ0rcmq1ziQ" TargetMode="External"/><Relationship Id="rId12" Type="http://schemas.openxmlformats.org/officeDocument/2006/relationships/hyperlink" Target="https://drive.google.com/file/d/0B2OLh4hyJ8gYYkEzdGkxczJQNWc/view?usp=sharing&amp;resourcekey=0-B4_Obh2j4gbIZ0rcmq1ziQ" TargetMode="External"/><Relationship Id="rId15" Type="http://schemas.openxmlformats.org/officeDocument/2006/relationships/hyperlink" Target="https://drive.google.com/file/d/0B2OLh4hyJ8gYYkEzdGkxczJQNWc/view?usp=sharing&amp;resourcekey=0-B4_Obh2j4gbIZ0rcmq1ziQ" TargetMode="External"/><Relationship Id="rId14" Type="http://schemas.openxmlformats.org/officeDocument/2006/relationships/hyperlink" Target="https://drive.google.com/file/d/0B2OLh4hyJ8gYYkEzdGkxczJQNWc/view?usp=sharing&amp;resourcekey=0-B4_Obh2j4gbIZ0rcmq1ziQ" TargetMode="External"/><Relationship Id="rId17" Type="http://schemas.openxmlformats.org/officeDocument/2006/relationships/hyperlink" Target="https://drive.google.com/file/d/0B2OLh4hyJ8gYYkEzdGkxczJQNWc/view?usp=sharing&amp;resourcekey=0-B4_Obh2j4gbIZ0rcmq1ziQ" TargetMode="External"/><Relationship Id="rId16" Type="http://schemas.openxmlformats.org/officeDocument/2006/relationships/hyperlink" Target="https://drive.google.com/file/d/0B2OLh4hyJ8gYYkEzdGkxczJQNWc/view?usp=sharing&amp;resourcekey=0-B4_Obh2j4gbIZ0rcmq1ziQ" TargetMode="External"/><Relationship Id="rId19" Type="http://schemas.openxmlformats.org/officeDocument/2006/relationships/hyperlink" Target="https://drive.google.com/file/d/0B2OLh4hyJ8gYYkEzdGkxczJQNWc/view?usp=sharing&amp;resourcekey=0-B4_Obh2j4gbIZ0rcmq1ziQ" TargetMode="External"/><Relationship Id="rId18" Type="http://schemas.openxmlformats.org/officeDocument/2006/relationships/hyperlink" Target="https://drive.google.com/file/d/0B2OLh4hyJ8gYYkEzdGkxczJQNWc/view?usp=sharing&amp;resourcekey=0-B4_Obh2j4gbIZ0rcmq1zi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